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333333"/>
          <w:kern w:val="0"/>
          <w:sz w:val="44"/>
          <w:szCs w:val="44"/>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333333"/>
          <w:kern w:val="0"/>
          <w:sz w:val="44"/>
          <w:szCs w:val="44"/>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line="1200" w:lineRule="exact"/>
        <w:jc w:val="center"/>
        <w:textAlignment w:val="auto"/>
        <w:rPr>
          <w:rFonts w:hint="eastAsia" w:ascii="方正小标宋简体" w:hAnsi="方正小标宋简体" w:eastAsia="方正小标宋简体" w:cs="方正小标宋简体"/>
          <w:b w:val="0"/>
          <w:bCs w:val="0"/>
          <w:color w:val="333333"/>
          <w:sz w:val="72"/>
          <w:szCs w:val="72"/>
        </w:rPr>
      </w:pPr>
      <w:r>
        <w:rPr>
          <w:rFonts w:hint="eastAsia" w:ascii="方正小标宋简体" w:hAnsi="方正小标宋简体" w:eastAsia="方正小标宋简体" w:cs="方正小标宋简体"/>
          <w:b w:val="0"/>
          <w:bCs w:val="0"/>
          <w:color w:val="333333"/>
          <w:kern w:val="0"/>
          <w:sz w:val="72"/>
          <w:szCs w:val="72"/>
          <w:shd w:val="clear" w:color="auto" w:fill="FFFFFF"/>
          <w:lang w:bidi="ar"/>
        </w:rPr>
        <w:t>广元市统计局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1200"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themeColor="text1"/>
          <w:spacing w:val="0"/>
          <w:kern w:val="0"/>
          <w:sz w:val="72"/>
          <w:szCs w:val="72"/>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72"/>
          <w:szCs w:val="72"/>
          <w:highlight w:val="none"/>
          <w:shd w:val="clear" w:color="auto" w:fill="FFFFFF"/>
          <w:lang w:val="en-US" w:eastAsia="zh-CN" w:bidi="ar"/>
          <w14:textFill>
            <w14:solidFill>
              <w14:schemeClr w14:val="tx1"/>
            </w14:solidFill>
          </w14:textFill>
        </w:rPr>
        <w:t>2024年部门预算编制说明</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 w:hAnsi="楷体" w:eastAsia="楷体" w:cs="楷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广元市统计局</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 w:hAnsi="楷体" w:eastAsia="楷体" w:cs="楷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2024年２月</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sectPr>
          <w:pgSz w:w="11906" w:h="16838"/>
          <w:pgMar w:top="2098" w:right="1474" w:bottom="1984" w:left="1587" w:header="720" w:footer="1389" w:gutter="0"/>
          <w:pgNumType w:fmt="decimal"/>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目  　　录</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一、基本职能及主要工作..............................(1 )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（一）单位职能简介..................................(1 )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（二）单位2024年重点工作...........................(2)</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二、部门预算单位构成................................(4)</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三、收支预算情况说明................................(4)</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（一）收入预算情况..................................(4 )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（二）支出预算情况..................................(4)</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四、财政拨款收支预算情况说明........................(5)</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五、一般公共预算当年拨款情况说明....................(5)</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（一）一般公共预算当年拨款规模变化情况..............(5 )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（二）一般公共预算当年拨款结构情况..................(5 )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（三）一般公共预算当年拨款具体使用情况..............(6)</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六、一般公共预算基本支出情况说明....................(7)</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七、“三公”经费财政拨款预算安排情况说明............(7 )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八、政府性基金预算支出情况说明......................(8)</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九、国有资本经营预算支出情况说明....................(8)</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 (9)</w:t>
      </w:r>
      <w:bookmarkStart w:id="0" w:name="_GoBack"/>
      <w:bookmarkEnd w:id="0"/>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楷体" w:hAnsi="楷体" w:eastAsia="楷体" w:cs="楷体"/>
          <w:i w:val="0"/>
          <w:caps w:val="0"/>
          <w:color w:val="000000" w:themeColor="text1"/>
          <w:spacing w:val="0"/>
          <w:sz w:val="32"/>
          <w:szCs w:val="32"/>
          <w:highlight w:val="none"/>
          <w14:textFill>
            <w14:solidFill>
              <w14:schemeClr w14:val="tx1"/>
            </w14:solidFill>
          </w14:textFill>
        </w:rPr>
      </w:pPr>
      <w:r>
        <w:rPr>
          <w:rFonts w:hint="eastAsia" w:ascii="楷体" w:hAnsi="楷体" w:eastAsia="楷体" w:cs="楷体"/>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 (9)</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leftChars="0" w:right="0" w:firstLine="251" w:firstLineChars="78"/>
        <w:jc w:val="both"/>
        <w:textAlignment w:val="auto"/>
        <w:rPr>
          <w:rFonts w:hint="eastAsia" w:ascii="楷体" w:hAnsi="楷体" w:eastAsia="楷体" w:cs="楷体"/>
          <w:b/>
          <w:i w:val="0"/>
          <w:caps w:val="0"/>
          <w:color w:val="000000" w:themeColor="text1"/>
          <w:spacing w:val="0"/>
          <w:sz w:val="32"/>
          <w:szCs w:val="32"/>
          <w:highlight w:val="none"/>
          <w:shd w:val="clear" w:color="auto" w:fill="FFFFFF"/>
          <w:lang w:val="en-US" w:eastAsia="zh-CN"/>
          <w14:textFill>
            <w14:solidFill>
              <w14:schemeClr w14:val="tx1"/>
            </w14:solidFill>
          </w14:textFill>
        </w:rPr>
        <w:sectPr>
          <w:footerReference r:id="rId3" w:type="default"/>
          <w:pgSz w:w="11906" w:h="16838"/>
          <w:pgMar w:top="2098" w:right="1474" w:bottom="1984" w:left="1587" w:header="720" w:footer="1389" w:gutter="0"/>
          <w:pgNumType w:fmt="decimal" w:start="1"/>
          <w:cols w:space="0" w:num="1"/>
          <w:rtlGutter w:val="0"/>
          <w:docGrid w:type="lines" w:linePitch="312" w:charSpace="0"/>
        </w:sect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560" w:lineRule="exact"/>
        <w:ind w:left="0" w:leftChars="0" w:right="0" w:firstLine="219" w:firstLineChars="78"/>
        <w:jc w:val="both"/>
        <w:textAlignment w:val="auto"/>
        <w:rPr>
          <w:rFonts w:hint="eastAsia" w:ascii="黑体" w:hAnsi="黑体" w:eastAsia="黑体" w:cs="黑体"/>
          <w:sz w:val="32"/>
          <w:szCs w:val="32"/>
        </w:rPr>
      </w:pPr>
      <w:r>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r>
        <w:rPr>
          <w:rFonts w:hint="eastAsia" w:ascii="黑体" w:hAnsi="黑体" w:eastAsia="黑体" w:cs="黑体"/>
          <w:sz w:val="32"/>
          <w:szCs w:val="32"/>
          <w:lang w:val="en-US" w:eastAsia="zh-CN"/>
        </w:rPr>
        <w:t>一、基本职能及主要工作</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b w:val="0"/>
          <w:bCs/>
          <w:color w:val="333333"/>
          <w:kern w:val="0"/>
          <w:sz w:val="32"/>
          <w:szCs w:val="32"/>
          <w:shd w:val="clear" w:color="auto" w:fill="FFFFFF"/>
          <w:lang w:bidi="ar"/>
        </w:rPr>
      </w:pPr>
      <w:r>
        <w:rPr>
          <w:rFonts w:hint="eastAsia" w:ascii="楷体" w:hAnsi="楷体" w:eastAsia="楷体" w:cs="楷体"/>
          <w:b w:val="0"/>
          <w:bCs/>
          <w:color w:val="333333"/>
          <w:kern w:val="0"/>
          <w:sz w:val="32"/>
          <w:szCs w:val="32"/>
          <w:shd w:val="clear" w:color="auto" w:fill="FFFFFF"/>
          <w:lang w:bidi="ar"/>
        </w:rPr>
        <w:t>（一）广元市统计局职能简介</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1</w:t>
      </w:r>
      <w:r>
        <w:rPr>
          <w:rFonts w:ascii="仿宋" w:hAnsi="仿宋" w:eastAsia="仿宋" w:cs="仿宋"/>
          <w:color w:val="333333"/>
          <w:kern w:val="0"/>
          <w:sz w:val="32"/>
          <w:szCs w:val="32"/>
          <w:shd w:val="clear" w:color="auto" w:fill="FFFFFF"/>
          <w:lang w:bidi="ar"/>
        </w:rPr>
        <w:t>.</w:t>
      </w:r>
      <w:r>
        <w:rPr>
          <w:rFonts w:hint="eastAsia" w:ascii="仿宋" w:hAnsi="仿宋" w:eastAsia="仿宋" w:cs="仿宋"/>
          <w:color w:val="333333"/>
          <w:kern w:val="0"/>
          <w:sz w:val="32"/>
          <w:szCs w:val="32"/>
          <w:shd w:val="clear" w:color="auto" w:fill="FFFFFF"/>
          <w:lang w:bidi="ar"/>
        </w:rPr>
        <w:t xml:space="preserve">贯彻执行国家、省统计工作的方针、政策和法律、法规以及统计制度、统计标准，起草统计政策规定，制订全市统计规划以及地方统计制度、统计标准，审批县区、市级部门的地方统计调查项目以及涉外统计调查机构和项目，组织领导和协调全市统计工作，确保统计数据真实、准确、及时。 </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2</w:t>
      </w:r>
      <w:r>
        <w:rPr>
          <w:rFonts w:ascii="仿宋" w:hAnsi="仿宋" w:eastAsia="仿宋" w:cs="仿宋"/>
          <w:color w:val="333333"/>
          <w:kern w:val="0"/>
          <w:sz w:val="32"/>
          <w:szCs w:val="32"/>
          <w:shd w:val="clear" w:color="auto" w:fill="FFFFFF"/>
          <w:lang w:bidi="ar"/>
        </w:rPr>
        <w:t>.</w:t>
      </w:r>
      <w:r>
        <w:rPr>
          <w:rFonts w:hint="eastAsia" w:ascii="仿宋" w:hAnsi="仿宋" w:eastAsia="仿宋" w:cs="仿宋"/>
          <w:color w:val="333333"/>
          <w:kern w:val="0"/>
          <w:sz w:val="32"/>
          <w:szCs w:val="32"/>
          <w:shd w:val="clear" w:color="auto" w:fill="FFFFFF"/>
          <w:lang w:bidi="ar"/>
        </w:rPr>
        <w:t xml:space="preserve">建立健全全市国民经济核算体系，组织实施全市国民经济核算制度，核算全市地区生产总值，整理提供国民经济核算资料，开展分析研究，指导、监督县区国民经济核算工作。 </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3</w:t>
      </w:r>
      <w:r>
        <w:rPr>
          <w:rFonts w:ascii="仿宋" w:hAnsi="仿宋" w:eastAsia="仿宋" w:cs="仿宋"/>
          <w:color w:val="333333"/>
          <w:kern w:val="0"/>
          <w:sz w:val="32"/>
          <w:szCs w:val="32"/>
          <w:shd w:val="clear" w:color="auto" w:fill="FFFFFF"/>
          <w:lang w:bidi="ar"/>
        </w:rPr>
        <w:t>.</w:t>
      </w:r>
      <w:r>
        <w:rPr>
          <w:rFonts w:hint="eastAsia" w:ascii="仿宋" w:hAnsi="仿宋" w:eastAsia="仿宋" w:cs="仿宋"/>
          <w:color w:val="333333"/>
          <w:kern w:val="0"/>
          <w:sz w:val="32"/>
          <w:szCs w:val="32"/>
          <w:shd w:val="clear" w:color="auto" w:fill="FFFFFF"/>
          <w:lang w:bidi="ar"/>
        </w:rPr>
        <w:t xml:space="preserve">组织实施农林牧渔业、工业、建筑业、批发和零售业、住宿和餐饮业、房地产业等国民经济行业以及能源、投资、人口、收入、科技、社会发展基本情况、环境基本状况等领域的统计调查，建立全市经济社会发展监测评价制度及指标体系，对重点区域和重要领域实施监测评价，牵头综合整理和提供资源、房屋、旅游、教育、卫生、邮电、交通运输、社会保障、公用事业、对外贸易、对外经济等全市基本统计资料。 </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4</w:t>
      </w:r>
      <w:r>
        <w:rPr>
          <w:rFonts w:ascii="仿宋" w:hAnsi="仿宋" w:eastAsia="仿宋" w:cs="仿宋"/>
          <w:color w:val="333333"/>
          <w:kern w:val="0"/>
          <w:sz w:val="32"/>
          <w:szCs w:val="32"/>
          <w:shd w:val="clear" w:color="auto" w:fill="FFFFFF"/>
          <w:lang w:bidi="ar"/>
        </w:rPr>
        <w:t>.</w:t>
      </w:r>
      <w:r>
        <w:rPr>
          <w:rFonts w:hint="eastAsia" w:ascii="仿宋" w:hAnsi="仿宋" w:eastAsia="仿宋" w:cs="仿宋"/>
          <w:color w:val="333333"/>
          <w:kern w:val="0"/>
          <w:sz w:val="32"/>
          <w:szCs w:val="32"/>
          <w:shd w:val="clear" w:color="auto" w:fill="FFFFFF"/>
          <w:lang w:bidi="ar"/>
        </w:rPr>
        <w:t xml:space="preserve">组织实施人口、经济、农业等普查和重大国情国力专项调查，组织实施全市投入产出调查。 </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5</w:t>
      </w:r>
      <w:r>
        <w:rPr>
          <w:rFonts w:ascii="仿宋" w:hAnsi="仿宋" w:eastAsia="仿宋" w:cs="仿宋"/>
          <w:color w:val="333333"/>
          <w:kern w:val="0"/>
          <w:sz w:val="32"/>
          <w:szCs w:val="32"/>
          <w:shd w:val="clear" w:color="auto" w:fill="FFFFFF"/>
          <w:lang w:bidi="ar"/>
        </w:rPr>
        <w:t>.</w:t>
      </w:r>
      <w:r>
        <w:rPr>
          <w:rFonts w:hint="eastAsia" w:ascii="仿宋" w:hAnsi="仿宋" w:eastAsia="仿宋" w:cs="仿宋"/>
          <w:color w:val="333333"/>
          <w:kern w:val="0"/>
          <w:sz w:val="32"/>
          <w:szCs w:val="32"/>
          <w:shd w:val="clear" w:color="auto" w:fill="FFFFFF"/>
          <w:lang w:bidi="ar"/>
        </w:rPr>
        <w:t>建立健全全市统计数据质量审核、监控和评估制度，依法对县区、市级部门重要统计数据进行审核、监控和评估，组织指</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textAlignment w:val="auto"/>
        <w:rPr>
          <w:rFonts w:hint="eastAsia"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 xml:space="preserve">导统计基层基础建设。 </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6</w:t>
      </w:r>
      <w:r>
        <w:rPr>
          <w:rFonts w:ascii="仿宋" w:hAnsi="仿宋" w:eastAsia="仿宋" w:cs="仿宋"/>
          <w:color w:val="333333"/>
          <w:kern w:val="0"/>
          <w:sz w:val="32"/>
          <w:szCs w:val="32"/>
          <w:shd w:val="clear" w:color="auto" w:fill="FFFFFF"/>
          <w:lang w:bidi="ar"/>
        </w:rPr>
        <w:t>.</w:t>
      </w:r>
      <w:r>
        <w:rPr>
          <w:rFonts w:hint="eastAsia" w:ascii="仿宋" w:hAnsi="仿宋" w:eastAsia="仿宋" w:cs="仿宋"/>
          <w:color w:val="333333"/>
          <w:kern w:val="0"/>
          <w:sz w:val="32"/>
          <w:szCs w:val="32"/>
          <w:shd w:val="clear" w:color="auto" w:fill="FFFFFF"/>
          <w:lang w:bidi="ar"/>
        </w:rPr>
        <w:t xml:space="preserve">对国民经济、社会发展、科技进步和资源环境等情况进行统计分析和预测，定期发布全市经济社会发展情况的统计信息，向市委、市政府及有关部门提供统计咨询建议，向社会公众提供统计信息服务。 </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7</w:t>
      </w:r>
      <w:r>
        <w:rPr>
          <w:rFonts w:ascii="仿宋" w:hAnsi="仿宋" w:eastAsia="仿宋" w:cs="仿宋"/>
          <w:color w:val="333333"/>
          <w:kern w:val="0"/>
          <w:sz w:val="32"/>
          <w:szCs w:val="32"/>
          <w:shd w:val="clear" w:color="auto" w:fill="FFFFFF"/>
          <w:lang w:bidi="ar"/>
        </w:rPr>
        <w:t>.</w:t>
      </w:r>
      <w:r>
        <w:rPr>
          <w:rFonts w:hint="eastAsia" w:ascii="仿宋" w:hAnsi="仿宋" w:eastAsia="仿宋" w:cs="仿宋"/>
          <w:color w:val="333333"/>
          <w:kern w:val="0"/>
          <w:sz w:val="32"/>
          <w:szCs w:val="32"/>
          <w:shd w:val="clear" w:color="auto" w:fill="FFFFFF"/>
          <w:lang w:bidi="ar"/>
        </w:rPr>
        <w:t xml:space="preserve">协助管理县区统计局正副局长，会同有关部门组织管理全市统计专业资格考试、职务评聘和从业资格认定工作，指导全市统计专业人才队伍建设，开展统计交流与合作，监督管理县区政府统计部门由中央财政和省、市级财政提供的统计经费。 </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8</w:t>
      </w:r>
      <w:r>
        <w:rPr>
          <w:rFonts w:ascii="仿宋" w:hAnsi="仿宋" w:eastAsia="仿宋" w:cs="仿宋"/>
          <w:color w:val="333333"/>
          <w:kern w:val="0"/>
          <w:sz w:val="32"/>
          <w:szCs w:val="32"/>
          <w:shd w:val="clear" w:color="auto" w:fill="FFFFFF"/>
          <w:lang w:bidi="ar"/>
        </w:rPr>
        <w:t>.</w:t>
      </w:r>
      <w:r>
        <w:rPr>
          <w:rFonts w:hint="eastAsia" w:ascii="仿宋" w:hAnsi="仿宋" w:eastAsia="仿宋" w:cs="仿宋"/>
          <w:color w:val="333333"/>
          <w:kern w:val="0"/>
          <w:sz w:val="32"/>
          <w:szCs w:val="32"/>
          <w:shd w:val="clear" w:color="auto" w:fill="FFFFFF"/>
          <w:lang w:bidi="ar"/>
        </w:rPr>
        <w:t>组织制订县区、市级部门统计数据库和网络的基本标准和</w:t>
      </w:r>
      <w:r>
        <w:rPr>
          <w:rFonts w:hint="eastAsia" w:ascii="仿宋" w:hAnsi="仿宋" w:eastAsia="仿宋" w:cs="仿宋"/>
          <w:color w:val="333333"/>
          <w:spacing w:val="-6"/>
          <w:kern w:val="0"/>
          <w:sz w:val="32"/>
          <w:szCs w:val="32"/>
          <w:shd w:val="clear" w:color="auto" w:fill="FFFFFF"/>
          <w:lang w:bidi="ar"/>
        </w:rPr>
        <w:t>运行规则，建立健全全市统计数据库系统和统计信息自动化系统，建立健全市级部门统计信息共享制度，指导地方统计信息化建设</w:t>
      </w:r>
      <w:r>
        <w:rPr>
          <w:rFonts w:hint="eastAsia" w:ascii="仿宋" w:hAnsi="仿宋" w:eastAsia="仿宋" w:cs="仿宋"/>
          <w:color w:val="333333"/>
          <w:kern w:val="0"/>
          <w:sz w:val="32"/>
          <w:szCs w:val="32"/>
          <w:shd w:val="clear" w:color="auto" w:fill="FFFFFF"/>
          <w:lang w:bidi="ar"/>
        </w:rPr>
        <w:t xml:space="preserve">。 </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9</w:t>
      </w:r>
      <w:r>
        <w:rPr>
          <w:rFonts w:ascii="仿宋" w:hAnsi="仿宋" w:eastAsia="仿宋" w:cs="仿宋"/>
          <w:color w:val="333333"/>
          <w:kern w:val="0"/>
          <w:sz w:val="32"/>
          <w:szCs w:val="32"/>
          <w:shd w:val="clear" w:color="auto" w:fill="FFFFFF"/>
          <w:lang w:bidi="ar"/>
        </w:rPr>
        <w:t>.</w:t>
      </w:r>
      <w:r>
        <w:rPr>
          <w:rFonts w:hint="eastAsia" w:ascii="仿宋" w:hAnsi="仿宋" w:eastAsia="仿宋" w:cs="仿宋"/>
          <w:color w:val="333333"/>
          <w:kern w:val="0"/>
          <w:sz w:val="32"/>
          <w:szCs w:val="32"/>
          <w:shd w:val="clear" w:color="auto" w:fill="FFFFFF"/>
          <w:lang w:bidi="ar"/>
        </w:rPr>
        <w:t>承担市政府公布的有关审批事项。</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广元市统计局</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我们将坚持以习近平新时代中国特色社会主义思想为指导，深入贯彻落实国家、省统计局和市委市政府工作要求，凝心聚力、奋勇争先，为广元加快建设川陕甘结合部现代化中心城市作出更大统计贡献。</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i w:val="0"/>
          <w:caps w:val="0"/>
          <w:smallCaps w:val="0"/>
          <w:color w:val="000000" w:themeColor="text1"/>
          <w:spacing w:val="0"/>
          <w:kern w:val="0"/>
          <w:sz w:val="32"/>
          <w:szCs w:val="32"/>
          <w:shd w:val="clear" w:color="auto" w:fill="FFFFFF"/>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1.坚持全面加强党的领导</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r>
        <w:rPr>
          <w:rFonts w:hint="eastAsia" w:ascii="仿宋" w:hAnsi="仿宋" w:eastAsia="仿宋" w:cs="仿宋"/>
          <w:b w:val="0"/>
          <w:bCs w:val="0"/>
          <w:i w:val="0"/>
          <w:caps w:val="0"/>
          <w:smallCaps w:val="0"/>
          <w:color w:val="000000" w:themeColor="text1"/>
          <w:spacing w:val="0"/>
          <w:kern w:val="0"/>
          <w:sz w:val="32"/>
          <w:szCs w:val="32"/>
          <w:shd w:val="clear" w:color="auto" w:fill="FFFFFF"/>
          <w:lang w:val="en-US" w:eastAsia="zh-CN" w:bidi="ar-SA"/>
          <w14:textFill>
            <w14:solidFill>
              <w14:schemeClr w14:val="tx1"/>
            </w14:solidFill>
          </w14:textFill>
        </w:rPr>
        <w:t>始终牢记统计机关的政治属性，旗帜鲜明讲政治，把坚持党的全面领导贯穿统计工作全过程各方面。严格落实“第一议题”制度，深入学习贯彻习近平总书记关于统计工作重要讲话指示批示精神，坚定不移贯彻落实党中央关于惩治统计造假、弄虚作假的决策部署，充分发挥统计部门“晴雨表”“参谋部”“信息窗”作用，以实际行动践行“两个维护”、捍卫“两个确立”。</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i w:val="0"/>
          <w:caps w:val="0"/>
          <w:smallCaps w:val="0"/>
          <w:color w:val="000000" w:themeColor="text1"/>
          <w:spacing w:val="0"/>
          <w:kern w:val="0"/>
          <w:sz w:val="32"/>
          <w:szCs w:val="32"/>
          <w:shd w:val="clear" w:color="auto" w:fill="FFFFFF"/>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2.全力抓好正式普查登记</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r>
        <w:rPr>
          <w:rFonts w:hint="eastAsia" w:ascii="仿宋" w:hAnsi="仿宋" w:eastAsia="仿宋" w:cs="仿宋"/>
          <w:b w:val="0"/>
          <w:bCs w:val="0"/>
          <w:i w:val="0"/>
          <w:caps w:val="0"/>
          <w:smallCaps w:val="0"/>
          <w:color w:val="000000" w:themeColor="text1"/>
          <w:spacing w:val="0"/>
          <w:kern w:val="0"/>
          <w:sz w:val="32"/>
          <w:szCs w:val="32"/>
          <w:shd w:val="clear" w:color="auto" w:fill="FFFFFF"/>
          <w:lang w:val="en-US" w:eastAsia="zh-CN" w:bidi="ar-SA"/>
          <w14:textFill>
            <w14:solidFill>
              <w14:schemeClr w14:val="tx1"/>
            </w14:solidFill>
          </w14:textFill>
        </w:rPr>
        <w:t>切实增强做好正式登记工作的紧迫感和责任感，在前期强大宣传声势基础上，再添一把火、再鼓一把劲、再加一把力，努力提高普查对象配合度，营造良好普查氛围。进一步把好时间节点、突出工作重点，明确工作职责、加强部门协作，积极发挥各成员单位职能，严格落实人财物保障，有序推进现场登记、数据审核验收、数据质量抽查等各项工作</w:t>
      </w:r>
      <w:r>
        <w:rPr>
          <w:rFonts w:hint="eastAsia" w:ascii="仿宋" w:hAnsi="仿宋" w:eastAsia="仿宋" w:cs="仿宋"/>
          <w:b w:val="0"/>
          <w:bCs w:val="0"/>
          <w:i w:val="0"/>
          <w:caps w:val="0"/>
          <w:small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b w:val="0"/>
          <w:bCs w:val="0"/>
          <w:i w:val="0"/>
          <w:caps w:val="0"/>
          <w:smallCaps w:val="0"/>
          <w:color w:val="000000" w:themeColor="text1"/>
          <w:spacing w:val="0"/>
          <w:kern w:val="0"/>
          <w:sz w:val="32"/>
          <w:szCs w:val="32"/>
          <w:shd w:val="clear" w:color="auto" w:fill="FFFFFF"/>
          <w:lang w:val="en-US" w:eastAsia="zh-CN" w:bidi="ar-SA"/>
          <w14:textFill>
            <w14:solidFill>
              <w14:schemeClr w14:val="tx1"/>
            </w14:solidFill>
          </w14:textFill>
        </w:rPr>
        <w:t>坚持以质量为中心严把数据关，强化数据质量管控措施，确保普查数据真实、可靠。</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i w:val="0"/>
          <w:caps w:val="0"/>
          <w:smallCaps w:val="0"/>
          <w:color w:val="000000" w:themeColor="text1"/>
          <w:spacing w:val="0"/>
          <w:kern w:val="0"/>
          <w:sz w:val="32"/>
          <w:szCs w:val="32"/>
          <w:shd w:val="clear" w:color="auto" w:fill="FFFFFF"/>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3.持续优化统计服务水平</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r>
        <w:rPr>
          <w:rFonts w:hint="eastAsia" w:ascii="仿宋" w:hAnsi="仿宋" w:eastAsia="仿宋" w:cs="仿宋"/>
          <w:b w:val="0"/>
          <w:bCs w:val="0"/>
          <w:i w:val="0"/>
          <w:caps w:val="0"/>
          <w:smallCaps w:val="0"/>
          <w:color w:val="000000" w:themeColor="text1"/>
          <w:spacing w:val="0"/>
          <w:kern w:val="0"/>
          <w:sz w:val="32"/>
          <w:szCs w:val="32"/>
          <w:shd w:val="clear" w:color="auto" w:fill="FFFFFF"/>
          <w:lang w:val="en-US" w:eastAsia="zh-CN" w:bidi="ar-SA"/>
          <w14:textFill>
            <w14:solidFill>
              <w14:schemeClr w14:val="tx1"/>
            </w14:solidFill>
          </w14:textFill>
        </w:rPr>
        <w:t>紧紧围绕市委、市政府中心工作，认真履行统计职能职责,紧盯全市经济形势，加强对重点领域、重点行业、重点企业的动态监测和预警预判，及时发现苗头性、趋势性问题和制约因素，精准研判和分析问题，以打造精品统计产品为抓手，在统计分析深度、广度、精度上下功夫,切实提高统计分析水平,实现统计从“数库”到“智库”的全面转变。</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i w:val="0"/>
          <w:caps w:val="0"/>
          <w:smallCaps w:val="0"/>
          <w:color w:val="000000" w:themeColor="text1"/>
          <w:spacing w:val="0"/>
          <w:kern w:val="0"/>
          <w:sz w:val="32"/>
          <w:szCs w:val="32"/>
          <w:shd w:val="clear" w:color="auto" w:fill="FFFFFF"/>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4.有效发挥统计监督职能</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r>
        <w:rPr>
          <w:rFonts w:hint="eastAsia" w:ascii="仿宋" w:hAnsi="仿宋" w:eastAsia="仿宋" w:cs="仿宋"/>
          <w:b w:val="0"/>
          <w:bCs w:val="0"/>
          <w:i w:val="0"/>
          <w:caps w:val="0"/>
          <w:smallCaps w:val="0"/>
          <w:color w:val="000000" w:themeColor="text1"/>
          <w:spacing w:val="0"/>
          <w:kern w:val="0"/>
          <w:sz w:val="32"/>
          <w:szCs w:val="32"/>
          <w:shd w:val="clear" w:color="auto" w:fill="FFFFFF"/>
          <w:lang w:val="en-US" w:eastAsia="zh-CN" w:bidi="ar-SA"/>
          <w14:textFill>
            <w14:solidFill>
              <w14:schemeClr w14:val="tx1"/>
            </w14:solidFill>
          </w14:textFill>
        </w:rPr>
        <w:t>持续学习贯彻《监督意见》及全市《关于更加有效发挥统计监督职能作用责任分工方案》的文件精神及工作要求，</w:t>
      </w:r>
      <w:r>
        <w:rPr>
          <w:rFonts w:hint="eastAsia" w:ascii="仿宋" w:hAnsi="仿宋" w:eastAsia="仿宋" w:cs="仿宋"/>
          <w:b w:val="0"/>
          <w:bCs w:val="0"/>
          <w:caps w:val="0"/>
          <w:smallCaps w:val="0"/>
          <w:vanish w:val="0"/>
          <w:color w:val="000000" w:themeColor="text1"/>
          <w:kern w:val="2"/>
          <w:sz w:val="32"/>
          <w:szCs w:val="32"/>
          <w:vertAlign w:val="baseline"/>
          <w:lang w:val="en-US" w:eastAsia="zh-CN" w:bidi="ar-SA"/>
          <w14:textFill>
            <w14:solidFill>
              <w14:schemeClr w14:val="tx1"/>
            </w14:solidFill>
          </w14:textFill>
        </w:rPr>
        <w:t>常态化开展统计法治宣传，</w:t>
      </w:r>
      <w:r>
        <w:rPr>
          <w:rFonts w:hint="eastAsia" w:ascii="仿宋" w:hAnsi="仿宋" w:eastAsia="仿宋" w:cs="仿宋"/>
          <w:b w:val="0"/>
          <w:bCs w:val="0"/>
          <w:i w:val="0"/>
          <w:caps w:val="0"/>
          <w:smallCaps w:val="0"/>
          <w:color w:val="000000" w:themeColor="text1"/>
          <w:spacing w:val="0"/>
          <w:kern w:val="0"/>
          <w:sz w:val="32"/>
          <w:szCs w:val="32"/>
          <w:shd w:val="clear" w:color="auto" w:fill="FFFFFF"/>
          <w:lang w:val="en-US" w:eastAsia="zh-CN" w:bidi="ar-SA"/>
          <w14:textFill>
            <w14:solidFill>
              <w14:schemeClr w14:val="tx1"/>
            </w14:solidFill>
          </w14:textFill>
        </w:rPr>
        <w:t>聚焦统计督</w:t>
      </w:r>
      <w:r>
        <w:rPr>
          <w:rFonts w:hint="eastAsia" w:ascii="仿宋" w:hAnsi="仿宋" w:eastAsia="仿宋" w:cs="仿宋"/>
          <w:b w:val="0"/>
          <w:bCs w:val="0"/>
          <w:i w:val="0"/>
          <w:caps w:val="0"/>
          <w:smallCaps w:val="0"/>
          <w:color w:val="000000" w:themeColor="text1"/>
          <w:spacing w:val="0"/>
          <w:kern w:val="0"/>
          <w:sz w:val="32"/>
          <w:szCs w:val="32"/>
          <w:lang w:val="en-US" w:eastAsia="zh-CN" w:bidi="ar-SA"/>
          <w14:textFill>
            <w14:solidFill>
              <w14:schemeClr w14:val="tx1"/>
            </w14:solidFill>
          </w14:textFill>
        </w:rPr>
        <w:t>察</w:t>
      </w:r>
      <w:r>
        <w:rPr>
          <w:rFonts w:hint="eastAsia" w:ascii="仿宋" w:hAnsi="仿宋" w:eastAsia="仿宋" w:cs="仿宋"/>
          <w:b w:val="0"/>
          <w:bCs w:val="0"/>
          <w:i w:val="0"/>
          <w:caps w:val="0"/>
          <w:smallCaps w:val="0"/>
          <w:color w:val="000000" w:themeColor="text1"/>
          <w:spacing w:val="0"/>
          <w:kern w:val="0"/>
          <w:sz w:val="32"/>
          <w:szCs w:val="32"/>
          <w:shd w:val="clear" w:color="auto" w:fill="FFFFFF"/>
          <w:lang w:val="en-US" w:eastAsia="zh-CN" w:bidi="ar-SA"/>
          <w14:textFill>
            <w14:solidFill>
              <w14:schemeClr w14:val="tx1"/>
            </w14:solidFill>
          </w14:textFill>
        </w:rPr>
        <w:t>反馈意见和整改方案任务抓好贯彻落实，坚持把专项治理行动作为全市统计工作重要政治任务,切实履行防范和惩治统计造假主体责</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textAlignment w:val="auto"/>
        <w:rPr>
          <w:rFonts w:hint="eastAsia" w:ascii="仿宋" w:hAnsi="仿宋" w:eastAsia="仿宋" w:cs="仿宋"/>
          <w:b w:val="0"/>
          <w:bCs w:val="0"/>
          <w:i w:val="0"/>
          <w:caps w:val="0"/>
          <w:smallCaps w:val="0"/>
          <w:color w:val="000000" w:themeColor="text1"/>
          <w:spacing w:val="0"/>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b w:val="0"/>
          <w:bCs w:val="0"/>
          <w:i w:val="0"/>
          <w:caps w:val="0"/>
          <w:smallCaps w:val="0"/>
          <w:color w:val="000000" w:themeColor="text1"/>
          <w:spacing w:val="0"/>
          <w:kern w:val="0"/>
          <w:sz w:val="32"/>
          <w:szCs w:val="32"/>
          <w:shd w:val="clear" w:color="auto" w:fill="FFFFFF"/>
          <w:lang w:val="en-US" w:eastAsia="zh-CN" w:bidi="ar-SA"/>
          <w14:textFill>
            <w14:solidFill>
              <w14:schemeClr w14:val="tx1"/>
            </w14:solidFill>
          </w14:textFill>
        </w:rPr>
        <w:t>任,用好数据质量核查、执法检查等方式，锚定有效遏制统计造</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textAlignment w:val="auto"/>
        <w:rPr>
          <w:rFonts w:hint="eastAsia" w:ascii="仿宋" w:hAnsi="仿宋" w:eastAsia="仿宋" w:cs="仿宋"/>
          <w:b w:val="0"/>
          <w:bCs w:val="0"/>
          <w:i w:val="0"/>
          <w:caps w:val="0"/>
          <w:smallCaps w:val="0"/>
          <w:color w:val="000000" w:themeColor="text1"/>
          <w:spacing w:val="0"/>
          <w:kern w:val="0"/>
          <w:sz w:val="32"/>
          <w:szCs w:val="32"/>
          <w:shd w:val="clear" w:color="auto" w:fill="FFFFFF"/>
          <w:lang w:val="en-US" w:eastAsia="zh-CN" w:bidi="ar-SA"/>
          <w14:textFill>
            <w14:solidFill>
              <w14:schemeClr w14:val="tx1"/>
            </w14:solidFill>
          </w14:textFill>
        </w:rPr>
      </w:pPr>
      <w:r>
        <w:rPr>
          <w:rFonts w:hint="eastAsia" w:ascii="仿宋" w:hAnsi="仿宋" w:eastAsia="仿宋" w:cs="仿宋"/>
          <w:b w:val="0"/>
          <w:bCs w:val="0"/>
          <w:i w:val="0"/>
          <w:caps w:val="0"/>
          <w:smallCaps w:val="0"/>
          <w:color w:val="000000" w:themeColor="text1"/>
          <w:spacing w:val="0"/>
          <w:kern w:val="0"/>
          <w:sz w:val="32"/>
          <w:szCs w:val="32"/>
          <w:shd w:val="clear" w:color="auto" w:fill="FFFFFF"/>
          <w:lang w:val="en-US" w:eastAsia="zh-CN" w:bidi="ar-SA"/>
          <w14:textFill>
            <w14:solidFill>
              <w14:schemeClr w14:val="tx1"/>
            </w14:solidFill>
          </w14:textFill>
        </w:rPr>
        <w:t>假问题，有力提升统计数据质量。</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i w:val="0"/>
          <w:caps w:val="0"/>
          <w:smallCaps w:val="0"/>
          <w:color w:val="000000" w:themeColor="text1"/>
          <w:spacing w:val="0"/>
          <w:kern w:val="0"/>
          <w:sz w:val="32"/>
          <w:szCs w:val="32"/>
          <w:shd w:val="clear" w:color="auto" w:fill="FFFFFF"/>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5.不断夯实统计基层基础</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w:t>
      </w:r>
      <w:r>
        <w:rPr>
          <w:rFonts w:hint="eastAsia" w:ascii="仿宋" w:hAnsi="仿宋" w:eastAsia="仿宋" w:cs="仿宋"/>
          <w:b w:val="0"/>
          <w:bCs w:val="0"/>
          <w:i w:val="0"/>
          <w:caps w:val="0"/>
          <w:smallCaps w:val="0"/>
          <w:color w:val="000000" w:themeColor="text1"/>
          <w:spacing w:val="0"/>
          <w:kern w:val="0"/>
          <w:sz w:val="32"/>
          <w:szCs w:val="32"/>
          <w:shd w:val="clear" w:color="auto" w:fill="FFFFFF"/>
          <w:lang w:val="en-US" w:eastAsia="zh-CN" w:bidi="ar-SA"/>
          <w14:textFill>
            <w14:solidFill>
              <w14:schemeClr w14:val="tx1"/>
            </w14:solidFill>
          </w14:textFill>
        </w:rPr>
        <w:t>全力推动统计改革向纵深发展，积极探索反映文化繁荣、社会进步、民生改善、高质量发展等方面的统计指标。扎实开展“统计基层基础规范化建设”三年攻坚行动，配齐配强基层统计力量，强化基层教育培训和工作保障。进一步加强统计数据质量管控，加大工作督促检查力度。切实加强对部门统计工作指导，深入开展基层基础建设等部门考核，不断提高部门统计能力、数据质量和服务水平。</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kern w:val="0"/>
          <w:sz w:val="32"/>
          <w:szCs w:val="32"/>
          <w:shd w:val="clear" w:color="auto" w:fill="FFFFFF"/>
          <w:lang w:eastAsia="zh-CN" w:bidi="ar"/>
        </w:rPr>
      </w:pPr>
      <w:r>
        <w:rPr>
          <w:rFonts w:hint="eastAsia" w:ascii="仿宋" w:hAnsi="仿宋" w:eastAsia="仿宋" w:cs="仿宋"/>
          <w:color w:val="333333"/>
          <w:kern w:val="0"/>
          <w:sz w:val="32"/>
          <w:szCs w:val="32"/>
          <w:shd w:val="clear" w:color="auto" w:fill="FFFFFF"/>
          <w:lang w:bidi="ar"/>
        </w:rPr>
        <w:t>本单位为一个行政单位，包括下属一个参公单位、一个事业单位。主要包括：广元市普查中心、广元市统计大数据管理与社情民意调查中心</w:t>
      </w:r>
      <w:r>
        <w:rPr>
          <w:rFonts w:hint="eastAsia" w:ascii="仿宋" w:hAnsi="仿宋" w:eastAsia="仿宋" w:cs="仿宋"/>
          <w:color w:val="333333"/>
          <w:kern w:val="0"/>
          <w:sz w:val="32"/>
          <w:szCs w:val="32"/>
          <w:shd w:val="clear" w:color="auto" w:fill="FFFFFF"/>
          <w:lang w:eastAsia="zh-CN" w:bidi="ar"/>
        </w:rPr>
        <w:t>，未单独编报预算。</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三、收支预算情况说明</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综合预算的原则，我单位所有收入和支出均纳入部门预算管理。收入包括：一般公共预算拨款收入；支出包括：一般公共服务支出、社会保障和就业支出、卫生健康支出、住房保障支出。广元市统计局2024年收支预算总数883.25万元,比2023年收支预算总数减少17.4万元，主要原因是调出一人、退休一人故人员经费减少，专项经费压减。</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（一）收入预算情况</w:t>
      </w:r>
      <w:r>
        <w:rPr>
          <w:rFonts w:hint="eastAsia" w:ascii="仿宋" w:hAnsi="仿宋" w:eastAsia="仿宋" w:cs="仿宋"/>
          <w:sz w:val="32"/>
          <w:szCs w:val="32"/>
          <w:lang w:val="en-US" w:eastAsia="zh-CN"/>
        </w:rPr>
        <w:t>广元市统计局2024年收入预算883.25万元，其中：一般公共预算拨款收入883.25万元，占100%。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广元市统计局2024年支出预算883.25万元，其中：基本支出827.67万元，占93.71%；项目支出55.58万元，占6.29%</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广元市统计局2024年财政拨款收支预算总数883.25万元,比2023年财政拨款收支预算总数下降7.4万元，主要原因是调出一人、退休一人故人员经费减少，专项经费压减。</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收入包括：本年一般公共预算拨款收入883.25万元；支出包括：一般公共服务支出718.96万元、社会保障和就业支出76.47万元、卫生健康支出24.05万元、住房保障支出63.78万元。</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（一）一般公共预算当年拨款规模变化情况</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广元市统计局2024年一般公共预算当年拨款883.25万元，比2023年预算数减少7.4万元，主要原因是调出一人、退休一人故人员经费减少，专项经费压减。</w:t>
      </w:r>
    </w:p>
    <w:p>
      <w:pPr>
        <w:keepNext w:val="0"/>
        <w:keepLines w:val="0"/>
        <w:pageBreakBefore w:val="0"/>
        <w:widowControl/>
        <w:numPr>
          <w:ilvl w:val="0"/>
          <w:numId w:val="1"/>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一般公共预算当年拨款结构情况</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一般公共服务支出718.96万元，占81.40%；社会保障和就业支出76.47万元，占8.66%；卫生健康支出24.05万元，占2.72%；住房保障支出63.78万元，占7.22%。</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（三）一般公共预算当年拨款具体使用情况</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kern w:val="0"/>
          <w:sz w:val="32"/>
          <w:szCs w:val="32"/>
          <w:shd w:val="clear" w:color="auto" w:fill="FFFFFF"/>
          <w:lang w:bidi="ar"/>
        </w:rPr>
      </w:pPr>
      <w:r>
        <w:rPr>
          <w:rFonts w:hint="eastAsia" w:ascii="仿宋" w:hAnsi="仿宋" w:eastAsia="仿宋" w:cs="仿宋"/>
          <w:sz w:val="32"/>
          <w:szCs w:val="32"/>
          <w:lang w:val="en-US" w:eastAsia="zh-CN"/>
        </w:rPr>
        <w:t>1.一般公共服务（类）</w:t>
      </w:r>
      <w:r>
        <w:rPr>
          <w:rFonts w:hint="eastAsia" w:ascii="仿宋" w:hAnsi="仿宋" w:eastAsia="仿宋" w:cs="仿宋"/>
          <w:color w:val="333333"/>
          <w:kern w:val="0"/>
          <w:sz w:val="32"/>
          <w:szCs w:val="32"/>
          <w:shd w:val="clear" w:color="auto" w:fill="FFFFFF"/>
          <w:lang w:bidi="ar"/>
        </w:rPr>
        <w:t>统计信息事务（款）行政运行（项）</w:t>
      </w:r>
      <w:r>
        <w:rPr>
          <w:rFonts w:hint="eastAsia" w:ascii="仿宋" w:hAnsi="仿宋" w:eastAsia="仿宋" w:cs="仿宋"/>
          <w:sz w:val="32"/>
          <w:szCs w:val="32"/>
          <w:lang w:val="en-US" w:eastAsia="zh-CN"/>
        </w:rPr>
        <w:t>2024年预算数为496.81万元，主要用于：</w:t>
      </w:r>
      <w:r>
        <w:rPr>
          <w:rFonts w:hint="eastAsia" w:ascii="仿宋" w:hAnsi="仿宋" w:eastAsia="仿宋" w:cs="仿宋"/>
          <w:color w:val="333333"/>
          <w:kern w:val="0"/>
          <w:sz w:val="32"/>
          <w:szCs w:val="32"/>
          <w:shd w:val="clear" w:color="auto" w:fill="FFFFFF"/>
          <w:lang w:bidi="ar"/>
        </w:rPr>
        <w:t xml:space="preserve">行政单位工资奖金津补贴、其他工资福利支出、办公经费、会议费、培训费、委托业务费、公务接待费、公务用车运行维护费、维修（护）费、其他商品和服务支出、设备购置、社会福利和救助、其他对个人和家庭补助。 </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kern w:val="0"/>
          <w:sz w:val="32"/>
          <w:szCs w:val="32"/>
          <w:shd w:val="clear" w:color="auto" w:fill="FFFFFF"/>
          <w:lang w:eastAsia="zh-CN" w:bidi="ar"/>
        </w:rPr>
      </w:pPr>
      <w:r>
        <w:rPr>
          <w:rFonts w:hint="eastAsia" w:ascii="仿宋" w:hAnsi="仿宋" w:eastAsia="仿宋" w:cs="仿宋"/>
          <w:sz w:val="32"/>
          <w:szCs w:val="32"/>
          <w:lang w:val="en-US" w:eastAsia="zh-CN"/>
        </w:rPr>
        <w:t>2.一般公共服务</w:t>
      </w:r>
      <w:r>
        <w:rPr>
          <w:rFonts w:hint="eastAsia" w:ascii="仿宋" w:hAnsi="仿宋" w:eastAsia="仿宋" w:cs="仿宋"/>
          <w:color w:val="333333"/>
          <w:kern w:val="0"/>
          <w:sz w:val="32"/>
          <w:szCs w:val="32"/>
          <w:shd w:val="clear" w:color="auto" w:fill="FFFFFF"/>
          <w:lang w:bidi="ar"/>
        </w:rPr>
        <w:t>（类）统计信息事务（款）专项统计业务（项）</w:t>
      </w:r>
      <w:r>
        <w:rPr>
          <w:rFonts w:hint="eastAsia" w:ascii="仿宋" w:hAnsi="仿宋" w:eastAsia="仿宋" w:cs="仿宋"/>
          <w:sz w:val="32"/>
          <w:szCs w:val="32"/>
          <w:lang w:val="en-US" w:eastAsia="zh-CN"/>
        </w:rPr>
        <w:t>2024年预算数为55.58万元，主要用于：机关日常业务之外开展专项统计工作的支出，</w:t>
      </w:r>
      <w:r>
        <w:rPr>
          <w:rFonts w:hint="eastAsia" w:ascii="仿宋" w:hAnsi="仿宋" w:eastAsia="仿宋" w:cs="仿宋"/>
          <w:color w:val="333333"/>
          <w:kern w:val="0"/>
          <w:sz w:val="32"/>
          <w:szCs w:val="32"/>
          <w:shd w:val="clear" w:color="auto" w:fill="FFFFFF"/>
          <w:lang w:val="en-US" w:eastAsia="zh-CN" w:bidi="ar"/>
        </w:rPr>
        <w:t>主要用于统计专项业务调查、培训和统计产品资料印制等相关经费，</w:t>
      </w:r>
      <w:r>
        <w:rPr>
          <w:rFonts w:hint="eastAsia" w:ascii="仿宋" w:hAnsi="仿宋" w:eastAsia="仿宋" w:cs="仿宋"/>
          <w:color w:val="333333"/>
          <w:kern w:val="0"/>
          <w:sz w:val="32"/>
          <w:szCs w:val="32"/>
          <w:shd w:val="clear" w:color="auto" w:fill="FFFFFF"/>
          <w:lang w:bidi="ar"/>
        </w:rPr>
        <w:t>其中</w:t>
      </w:r>
      <w:r>
        <w:rPr>
          <w:rFonts w:hint="eastAsia" w:ascii="仿宋" w:hAnsi="仿宋" w:eastAsia="仿宋" w:cs="仿宋"/>
          <w:color w:val="333333"/>
          <w:kern w:val="0"/>
          <w:sz w:val="32"/>
          <w:szCs w:val="32"/>
          <w:shd w:val="clear" w:color="auto" w:fill="FFFFFF"/>
          <w:lang w:eastAsia="zh-CN" w:bidi="ar"/>
        </w:rPr>
        <w:t>包括</w:t>
      </w:r>
      <w:r>
        <w:rPr>
          <w:rFonts w:hint="eastAsia" w:ascii="仿宋" w:hAnsi="仿宋" w:eastAsia="仿宋" w:cs="仿宋"/>
          <w:color w:val="333333"/>
          <w:kern w:val="0"/>
          <w:sz w:val="32"/>
          <w:szCs w:val="32"/>
          <w:shd w:val="clear" w:color="auto" w:fill="FFFFFF"/>
          <w:lang w:bidi="ar"/>
        </w:rPr>
        <w:t>乡村振兴工作经费及驻村第一书记生活补助</w:t>
      </w:r>
      <w:r>
        <w:rPr>
          <w:rFonts w:hint="eastAsia" w:ascii="仿宋" w:hAnsi="仿宋" w:eastAsia="仿宋" w:cs="仿宋"/>
          <w:color w:val="333333"/>
          <w:kern w:val="0"/>
          <w:sz w:val="32"/>
          <w:szCs w:val="32"/>
          <w:shd w:val="clear" w:color="auto" w:fill="FFFFFF"/>
          <w:lang w:val="en-US" w:eastAsia="zh-CN" w:bidi="ar"/>
        </w:rPr>
        <w:t>3.64</w:t>
      </w:r>
      <w:r>
        <w:rPr>
          <w:rFonts w:hint="eastAsia" w:ascii="仿宋" w:hAnsi="仿宋" w:eastAsia="仿宋" w:cs="仿宋"/>
          <w:color w:val="333333"/>
          <w:kern w:val="0"/>
          <w:sz w:val="32"/>
          <w:szCs w:val="32"/>
          <w:shd w:val="clear" w:color="auto" w:fill="FFFFFF"/>
          <w:lang w:bidi="ar"/>
        </w:rPr>
        <w:t>万元</w:t>
      </w:r>
      <w:r>
        <w:rPr>
          <w:rFonts w:hint="eastAsia" w:ascii="仿宋" w:hAnsi="仿宋" w:eastAsia="仿宋" w:cs="仿宋"/>
          <w:color w:val="333333"/>
          <w:kern w:val="0"/>
          <w:sz w:val="32"/>
          <w:szCs w:val="32"/>
          <w:shd w:val="clear" w:color="auto" w:fill="FFFFFF"/>
          <w:lang w:eastAsia="zh-CN" w:bidi="ar"/>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kern w:val="0"/>
          <w:sz w:val="32"/>
          <w:szCs w:val="32"/>
          <w:shd w:val="clear" w:color="auto" w:fill="FFFFFF"/>
          <w:lang w:bidi="ar"/>
        </w:rPr>
      </w:pPr>
      <w:r>
        <w:rPr>
          <w:rFonts w:hint="eastAsia" w:ascii="仿宋" w:hAnsi="仿宋" w:eastAsia="仿宋" w:cs="仿宋"/>
          <w:sz w:val="32"/>
          <w:szCs w:val="32"/>
          <w:lang w:val="en-US" w:eastAsia="zh-CN"/>
        </w:rPr>
        <w:t>3.一般公共服务（类）</w:t>
      </w:r>
      <w:r>
        <w:rPr>
          <w:rFonts w:hint="eastAsia" w:ascii="仿宋" w:hAnsi="仿宋" w:eastAsia="仿宋" w:cs="仿宋"/>
          <w:color w:val="333333"/>
          <w:kern w:val="0"/>
          <w:sz w:val="32"/>
          <w:szCs w:val="32"/>
          <w:shd w:val="clear" w:color="auto" w:fill="FFFFFF"/>
          <w:lang w:bidi="ar"/>
        </w:rPr>
        <w:t>统计信息事务（款）</w:t>
      </w:r>
      <w:r>
        <w:rPr>
          <w:rFonts w:hint="eastAsia" w:ascii="仿宋" w:hAnsi="仿宋" w:eastAsia="仿宋" w:cs="仿宋"/>
          <w:sz w:val="32"/>
          <w:szCs w:val="32"/>
          <w:lang w:val="en-US" w:eastAsia="zh-CN"/>
        </w:rPr>
        <w:t>事业运行（项）2024年预算数为166.57万元，主要用于：</w:t>
      </w:r>
      <w:r>
        <w:rPr>
          <w:rFonts w:hint="eastAsia" w:ascii="仿宋" w:hAnsi="仿宋" w:eastAsia="仿宋" w:cs="仿宋"/>
          <w:color w:val="333333"/>
          <w:kern w:val="0"/>
          <w:sz w:val="32"/>
          <w:szCs w:val="32"/>
          <w:shd w:val="clear" w:color="auto" w:fill="FFFFFF"/>
          <w:lang w:eastAsia="zh-CN" w:bidi="ar"/>
        </w:rPr>
        <w:t>事业</w:t>
      </w:r>
      <w:r>
        <w:rPr>
          <w:rFonts w:hint="eastAsia" w:ascii="仿宋" w:hAnsi="仿宋" w:eastAsia="仿宋" w:cs="仿宋"/>
          <w:color w:val="333333"/>
          <w:kern w:val="0"/>
          <w:sz w:val="32"/>
          <w:szCs w:val="32"/>
          <w:shd w:val="clear" w:color="auto" w:fill="FFFFFF"/>
          <w:lang w:bidi="ar"/>
        </w:rPr>
        <w:t xml:space="preserve">单位工资奖金津补贴、其他工资福利支出、办公经费、会议费、培训费、委托业务费、公务接待费、公务用车运行维护费、维修（护）费、其他商品和服务支出、设备购置、其他对个人和家庭补助。 </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4.社会保障和就业（类）行政事业单位养老支出（款）机关事业单位基本养老保险缴费支出（项）2024年预算数为75.38万元，主要用于：实施养老保险制度由单位缴纳的基本养老保险支出。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5.社会保障和就业（类）行政事业单位养老支出（款） 其</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他社会保障和就业支出（项）2024年预算数为1.09万元，主要用于其他社会保障和就业方面的支出。</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6.卫生健康（类）行政事业单位医疗（款）行政单位医疗（项）2024年预算数为24.05万元，主要用于：机关及参公管理事业单位按规定由单位缴纳的基本医疗保险支出。</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7.住房保障（类）住房改革支出（款）住房公积金（项）2024年预算数为63.78万元，主要用于：部门按规定为职工缴纳的住房公积金支出。</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广元市统计局2024年一般公共预算基本支出827.67万元，其中：人员经费718.8万元，主要包括：基本工资、津贴补贴、奖金、社会保险缴费、住房公积金等支出。</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用经费108.87万元，主要包括：办公费、印刷费、手续费、水费、电费、邮电费、差旅费、维修（护）费、会议费、培训费、公务接待费、劳务费、工会经费、福利费、公务用车运行维护费、其他交通费用、其他商品服务支出等支出。</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kern w:val="0"/>
          <w:sz w:val="32"/>
          <w:szCs w:val="32"/>
          <w:shd w:val="clear" w:color="auto" w:fill="FFFFFF"/>
          <w:lang w:bidi="ar"/>
        </w:rPr>
      </w:pPr>
      <w:r>
        <w:rPr>
          <w:rFonts w:hint="eastAsia" w:ascii="仿宋" w:hAnsi="仿宋" w:eastAsia="仿宋" w:cs="仿宋"/>
          <w:sz w:val="32"/>
          <w:szCs w:val="32"/>
          <w:lang w:val="en-US" w:eastAsia="zh-CN"/>
        </w:rPr>
        <w:t>广元市统计局2024年“三公”经费财政拨款预算数5.6万元，其中：公务接待费1.7万元，公务用车购置及运行维护费3.9万元，</w:t>
      </w:r>
      <w:r>
        <w:rPr>
          <w:rFonts w:hint="eastAsia" w:ascii="仿宋" w:hAnsi="仿宋" w:eastAsia="仿宋" w:cs="仿宋"/>
          <w:color w:val="333333"/>
          <w:kern w:val="0"/>
          <w:sz w:val="32"/>
          <w:szCs w:val="32"/>
          <w:shd w:val="clear" w:color="auto" w:fill="FFFFFF"/>
          <w:lang w:bidi="ar"/>
        </w:rPr>
        <w:t>因公出国（境）经费</w:t>
      </w:r>
      <w:r>
        <w:rPr>
          <w:rFonts w:hint="eastAsia" w:ascii="仿宋" w:hAnsi="仿宋" w:eastAsia="仿宋" w:cs="仿宋"/>
          <w:color w:val="333333"/>
          <w:kern w:val="0"/>
          <w:sz w:val="32"/>
          <w:szCs w:val="32"/>
          <w:shd w:val="clear" w:color="auto" w:fill="FFFFFF"/>
          <w:lang w:val="en-US" w:eastAsia="zh-CN" w:bidi="ar"/>
        </w:rPr>
        <w:t>0万元</w:t>
      </w:r>
      <w:r>
        <w:rPr>
          <w:rFonts w:hint="eastAsia" w:ascii="仿宋" w:hAnsi="仿宋" w:eastAsia="仿宋" w:cs="仿宋"/>
          <w:color w:val="333333"/>
          <w:kern w:val="0"/>
          <w:sz w:val="32"/>
          <w:szCs w:val="32"/>
          <w:shd w:val="clear" w:color="auto" w:fill="FFFFFF"/>
          <w:lang w:bidi="ar"/>
        </w:rPr>
        <w:t>。</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公务接待费与2023年预算相比减少0.06万元，主要原因是逐年压减。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bCs/>
          <w:sz w:val="32"/>
          <w:szCs w:val="32"/>
        </w:rPr>
      </w:pPr>
      <w:r>
        <w:rPr>
          <w:rFonts w:hint="eastAsia" w:ascii="仿宋" w:hAnsi="仿宋" w:eastAsia="仿宋" w:cs="仿宋"/>
          <w:sz w:val="32"/>
          <w:szCs w:val="32"/>
          <w:lang w:val="en-US" w:eastAsia="zh-CN"/>
        </w:rPr>
        <w:t>2024年公务接待费计划用于执行接待考察调研、检查指导、数据会审等公务活动开支的交通费、住宿费、用餐费等。</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务用车购置及运行维护费与2023年预算相比下降2.5万元，主要原因是2024年为经普年份，公务用车相关运行维护费在开展普查相关工作中列支，精准编制预算经济分类科目。广元市统计局现有公务用车1辆，其中：越野车1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2024年安排公务用车购置费0万元，2024年未安排公务用车购置费。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2024年安排公务用车运行维护费3.9万元，用于1辆公务用车燃油、过路（桥）、维修、保险等方面支出，主要保障</w:t>
      </w:r>
      <w:r>
        <w:rPr>
          <w:rFonts w:hint="eastAsia" w:ascii="仿宋" w:hAnsi="仿宋" w:eastAsia="仿宋" w:cs="仿宋"/>
          <w:color w:val="333333"/>
          <w:kern w:val="0"/>
          <w:sz w:val="32"/>
          <w:szCs w:val="32"/>
          <w:shd w:val="clear" w:color="auto" w:fill="FFFFFF"/>
          <w:lang w:bidi="ar"/>
        </w:rPr>
        <w:t>统计专项督查、乡村振兴等各类专项业务工作开展</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 xml:space="preserve">    （三）因公出国（境）经费</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bidi="ar"/>
        </w:rPr>
        <w:t>202</w:t>
      </w:r>
      <w:r>
        <w:rPr>
          <w:rFonts w:hint="eastAsia" w:ascii="仿宋" w:hAnsi="仿宋" w:eastAsia="仿宋" w:cs="仿宋"/>
          <w:color w:val="333333"/>
          <w:kern w:val="0"/>
          <w:sz w:val="32"/>
          <w:szCs w:val="32"/>
          <w:shd w:val="clear" w:color="auto" w:fill="FFFFFF"/>
          <w:lang w:val="en-US" w:eastAsia="zh-CN" w:bidi="ar"/>
        </w:rPr>
        <w:t>4</w:t>
      </w:r>
      <w:r>
        <w:rPr>
          <w:rFonts w:hint="eastAsia" w:ascii="仿宋" w:hAnsi="仿宋" w:eastAsia="仿宋" w:cs="仿宋"/>
          <w:color w:val="333333"/>
          <w:kern w:val="0"/>
          <w:sz w:val="32"/>
          <w:szCs w:val="32"/>
          <w:shd w:val="clear" w:color="auto" w:fill="FFFFFF"/>
          <w:lang w:bidi="ar"/>
        </w:rPr>
        <w:t>年部门预算未编列因公出国（境）经费，未安排出国（境）任务和计划</w:t>
      </w:r>
      <w:r>
        <w:rPr>
          <w:rFonts w:hint="eastAsia" w:ascii="仿宋" w:hAnsi="仿宋" w:eastAsia="仿宋" w:cs="仿宋"/>
          <w:color w:val="333333"/>
          <w:kern w:val="0"/>
          <w:sz w:val="32"/>
          <w:szCs w:val="32"/>
          <w:shd w:val="clear" w:color="auto" w:fill="FFFFFF"/>
          <w:lang w:eastAsia="zh-CN" w:bidi="ar"/>
        </w:rPr>
        <w:t>，与</w:t>
      </w:r>
      <w:r>
        <w:rPr>
          <w:rFonts w:hint="eastAsia" w:ascii="仿宋" w:hAnsi="仿宋" w:eastAsia="仿宋" w:cs="仿宋"/>
          <w:color w:val="333333"/>
          <w:kern w:val="0"/>
          <w:sz w:val="32"/>
          <w:szCs w:val="32"/>
          <w:shd w:val="clear" w:color="auto" w:fill="FFFFFF"/>
          <w:lang w:val="en-US" w:eastAsia="zh-CN" w:bidi="ar"/>
        </w:rPr>
        <w:t>2023年持平。</w:t>
      </w:r>
    </w:p>
    <w:p>
      <w:pPr>
        <w:keepNext w:val="0"/>
        <w:keepLines w:val="0"/>
        <w:pageBreakBefore w:val="0"/>
        <w:widowControl/>
        <w:numPr>
          <w:ilvl w:val="0"/>
          <w:numId w:val="3"/>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政府性基金预算支出情况说明</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广元市统计局2024年无政府性基金预算拨款安排的支出。</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广元市统计局2024年无国有资本经营预算拨款安排的支出。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2024年，广元市统计局下属局机关和2家事业单位的机关运行经费财政拨款预算为108.87万元，比2023年预算减少1.6万元，下降1.45%。主要原因是人员变动。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2024年，广元市统计局安排政府采购预算0万元。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截至2023年底，广元市统计局共有车辆1辆，</w:t>
      </w:r>
      <w:r>
        <w:rPr>
          <w:rFonts w:hint="eastAsia" w:ascii="仿宋" w:hAnsi="仿宋" w:eastAsia="仿宋" w:cs="仿宋"/>
          <w:color w:val="333333"/>
          <w:kern w:val="0"/>
          <w:sz w:val="32"/>
          <w:szCs w:val="32"/>
          <w:shd w:val="clear" w:color="auto" w:fill="FFFFFF"/>
          <w:lang w:bidi="ar"/>
        </w:rPr>
        <w:t>用于开展统计执法工作用车。单位价值</w:t>
      </w:r>
      <w:r>
        <w:rPr>
          <w:rFonts w:hint="eastAsia" w:ascii="仿宋" w:hAnsi="仿宋" w:eastAsia="仿宋" w:cs="仿宋"/>
          <w:color w:val="333333"/>
          <w:kern w:val="0"/>
          <w:sz w:val="32"/>
          <w:szCs w:val="32"/>
          <w:shd w:val="clear" w:color="auto" w:fill="FFFFFF"/>
          <w:lang w:val="en-US" w:eastAsia="zh-CN" w:bidi="ar"/>
        </w:rPr>
        <w:t>200</w:t>
      </w:r>
      <w:r>
        <w:rPr>
          <w:rFonts w:hint="eastAsia" w:ascii="仿宋" w:hAnsi="仿宋" w:eastAsia="仿宋" w:cs="仿宋"/>
          <w:color w:val="333333"/>
          <w:kern w:val="0"/>
          <w:sz w:val="32"/>
          <w:szCs w:val="32"/>
          <w:shd w:val="clear" w:color="auto" w:fill="FFFFFF"/>
          <w:lang w:bidi="ar"/>
        </w:rPr>
        <w:t>万元以上大型设备0台（套）</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2024年广元市统计局开展绩效目标管理的项目18个，涉及预算883.25万元。其中：人员类项目8个，涉及预算718.79 万元；运转类项目4个，涉及预算108.87万元；特定目标类项目6个，涉及预算55.58万元。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（一）财政拨款收入:</w:t>
      </w:r>
      <w:r>
        <w:rPr>
          <w:rFonts w:hint="eastAsia" w:ascii="仿宋" w:hAnsi="仿宋" w:eastAsia="仿宋" w:cs="仿宋"/>
          <w:sz w:val="32"/>
          <w:szCs w:val="32"/>
          <w:lang w:val="en-US" w:eastAsia="zh-CN"/>
        </w:rPr>
        <w:t>指市财政当年安排的财政预算收入。按现行管理制度,部门预算中反映的财政拨款包括一般公共预算拨款和政府性基金预算拨款。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（二）其他收入：</w:t>
      </w:r>
      <w:r>
        <w:rPr>
          <w:rFonts w:hint="eastAsia" w:ascii="仿宋" w:hAnsi="仿宋" w:eastAsia="仿宋" w:cs="仿宋"/>
          <w:sz w:val="32"/>
          <w:szCs w:val="32"/>
          <w:lang w:val="en-US" w:eastAsia="zh-CN"/>
        </w:rPr>
        <w:t>指除上述“一般公共预算拨款收入” 以外的收入。如银行存款利息收入等。</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（三）上年结转：</w:t>
      </w:r>
      <w:r>
        <w:rPr>
          <w:rFonts w:hint="eastAsia" w:ascii="仿宋" w:hAnsi="仿宋" w:eastAsia="仿宋" w:cs="仿宋"/>
          <w:sz w:val="32"/>
          <w:szCs w:val="32"/>
          <w:lang w:val="en-US" w:eastAsia="zh-CN"/>
        </w:rPr>
        <w:t>指以前年度尚未完成，结转到本年仍按原规定用途继续使用的资金。</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w:t>
      </w:r>
      <w:r>
        <w:rPr>
          <w:rFonts w:hint="eastAsia" w:ascii="楷体" w:hAnsi="楷体" w:eastAsia="楷体" w:cs="楷体"/>
          <w:sz w:val="32"/>
          <w:szCs w:val="32"/>
          <w:lang w:val="en-US" w:eastAsia="zh-CN"/>
        </w:rPr>
        <w:t>　（四）一般公共服务（类）</w:t>
      </w:r>
      <w:r>
        <w:rPr>
          <w:rFonts w:hint="eastAsia" w:ascii="楷体" w:hAnsi="楷体" w:eastAsia="楷体" w:cs="楷体"/>
          <w:color w:val="000000"/>
          <w:sz w:val="32"/>
          <w:szCs w:val="32"/>
        </w:rPr>
        <w:t>统计信息事</w:t>
      </w:r>
      <w:r>
        <w:rPr>
          <w:rFonts w:hint="eastAsia" w:ascii="楷体" w:hAnsi="楷体" w:eastAsia="楷体" w:cs="楷体"/>
          <w:sz w:val="32"/>
          <w:szCs w:val="32"/>
        </w:rPr>
        <w:t>（款）</w:t>
      </w:r>
      <w:r>
        <w:rPr>
          <w:rFonts w:hint="eastAsia" w:ascii="楷体" w:hAnsi="楷体" w:eastAsia="楷体" w:cs="楷体"/>
          <w:color w:val="000000"/>
          <w:sz w:val="32"/>
          <w:szCs w:val="32"/>
        </w:rPr>
        <w:t>行政运行</w:t>
      </w:r>
      <w:r>
        <w:rPr>
          <w:rFonts w:hint="eastAsia" w:ascii="楷体" w:hAnsi="楷体" w:eastAsia="楷体" w:cs="楷体"/>
          <w:sz w:val="32"/>
          <w:szCs w:val="32"/>
        </w:rPr>
        <w:t>（项）：</w:t>
      </w:r>
      <w:r>
        <w:rPr>
          <w:rFonts w:hint="eastAsia" w:ascii="仿宋" w:hAnsi="仿宋" w:eastAsia="仿宋" w:cs="仿宋"/>
          <w:sz w:val="32"/>
          <w:szCs w:val="32"/>
        </w:rPr>
        <w:t>指用</w:t>
      </w:r>
      <w:r>
        <w:rPr>
          <w:rFonts w:hint="eastAsia" w:ascii="仿宋" w:hAnsi="仿宋" w:eastAsia="仿宋" w:cs="仿宋"/>
          <w:sz w:val="32"/>
          <w:szCs w:val="32"/>
          <w:lang w:val="en-US" w:eastAsia="zh-CN"/>
        </w:rPr>
        <w:t>机关单位用于保障机构正常运行、开展日常工作的基本支出。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w:t>
      </w:r>
      <w:r>
        <w:rPr>
          <w:rFonts w:hint="eastAsia" w:ascii="楷体" w:hAnsi="楷体" w:eastAsia="楷体" w:cs="楷体"/>
          <w:sz w:val="32"/>
          <w:szCs w:val="32"/>
          <w:lang w:val="en-US" w:eastAsia="zh-CN"/>
        </w:rPr>
        <w:t>　（五）一般公共服务（类）</w:t>
      </w:r>
      <w:r>
        <w:rPr>
          <w:rFonts w:hint="eastAsia" w:ascii="楷体" w:hAnsi="楷体" w:eastAsia="楷体" w:cs="楷体"/>
          <w:color w:val="000000"/>
          <w:sz w:val="32"/>
          <w:szCs w:val="32"/>
        </w:rPr>
        <w:t>统计信息事</w:t>
      </w:r>
      <w:r>
        <w:rPr>
          <w:rFonts w:hint="eastAsia" w:ascii="楷体" w:hAnsi="楷体" w:eastAsia="楷体" w:cs="楷体"/>
          <w:sz w:val="32"/>
          <w:szCs w:val="32"/>
        </w:rPr>
        <w:t>（款）专项统计业务（项）：</w:t>
      </w:r>
      <w:r>
        <w:rPr>
          <w:rFonts w:hint="eastAsia" w:ascii="仿宋" w:hAnsi="仿宋" w:eastAsia="仿宋" w:cs="仿宋"/>
          <w:sz w:val="32"/>
          <w:szCs w:val="32"/>
        </w:rPr>
        <w:t>指用于统计</w:t>
      </w:r>
      <w:r>
        <w:rPr>
          <w:rFonts w:hint="eastAsia" w:ascii="仿宋" w:hAnsi="仿宋" w:eastAsia="仿宋" w:cs="仿宋"/>
          <w:sz w:val="32"/>
          <w:szCs w:val="32"/>
          <w:lang w:eastAsia="zh-CN"/>
        </w:rPr>
        <w:t>机关在日常业务之外开展</w:t>
      </w:r>
      <w:r>
        <w:rPr>
          <w:rFonts w:hint="eastAsia" w:ascii="仿宋" w:hAnsi="仿宋" w:eastAsia="仿宋" w:cs="仿宋"/>
          <w:sz w:val="32"/>
          <w:szCs w:val="32"/>
        </w:rPr>
        <w:t>专项</w:t>
      </w:r>
      <w:r>
        <w:rPr>
          <w:rFonts w:hint="eastAsia" w:ascii="仿宋" w:hAnsi="仿宋" w:eastAsia="仿宋" w:cs="仿宋"/>
          <w:sz w:val="32"/>
          <w:szCs w:val="32"/>
          <w:lang w:eastAsia="zh-CN"/>
        </w:rPr>
        <w:t>统计</w:t>
      </w:r>
      <w:r>
        <w:rPr>
          <w:rFonts w:hint="eastAsia" w:ascii="仿宋" w:hAnsi="仿宋" w:eastAsia="仿宋" w:cs="仿宋"/>
          <w:sz w:val="32"/>
          <w:szCs w:val="32"/>
        </w:rPr>
        <w:t>工作支出。</w:t>
      </w:r>
      <w:r>
        <w:rPr>
          <w:rFonts w:hint="eastAsia" w:ascii="仿宋" w:hAnsi="仿宋" w:eastAsia="仿宋" w:cs="仿宋"/>
          <w:sz w:val="32"/>
          <w:szCs w:val="32"/>
          <w:lang w:val="en-US" w:eastAsia="zh-CN"/>
        </w:rPr>
        <w:t>　</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（六）一般公共服务（类）</w:t>
      </w:r>
      <w:r>
        <w:rPr>
          <w:rFonts w:hint="eastAsia" w:ascii="楷体" w:hAnsi="楷体" w:eastAsia="楷体" w:cs="楷体"/>
          <w:color w:val="000000"/>
          <w:sz w:val="32"/>
          <w:szCs w:val="32"/>
        </w:rPr>
        <w:t>统计信息事</w:t>
      </w:r>
      <w:r>
        <w:rPr>
          <w:rFonts w:hint="eastAsia" w:ascii="楷体" w:hAnsi="楷体" w:eastAsia="楷体" w:cs="楷体"/>
          <w:sz w:val="32"/>
          <w:szCs w:val="32"/>
        </w:rPr>
        <w:t>（款）专项普查活动（项）：</w:t>
      </w:r>
      <w:r>
        <w:rPr>
          <w:rFonts w:hint="eastAsia" w:ascii="仿宋" w:hAnsi="仿宋" w:eastAsia="仿宋" w:cs="仿宋"/>
          <w:sz w:val="32"/>
          <w:szCs w:val="32"/>
        </w:rPr>
        <w:t>指用于统计</w:t>
      </w:r>
      <w:r>
        <w:rPr>
          <w:rFonts w:hint="eastAsia" w:ascii="仿宋" w:hAnsi="仿宋" w:eastAsia="仿宋" w:cs="仿宋"/>
          <w:sz w:val="32"/>
          <w:szCs w:val="32"/>
          <w:lang w:eastAsia="zh-CN"/>
        </w:rPr>
        <w:t>部门开展人口普查、经济普查、农业普查、投入产出调查等周期性普查工作</w:t>
      </w:r>
      <w:r>
        <w:rPr>
          <w:rFonts w:hint="eastAsia" w:ascii="仿宋" w:hAnsi="仿宋" w:eastAsia="仿宋" w:cs="仿宋"/>
          <w:sz w:val="32"/>
          <w:szCs w:val="32"/>
        </w:rPr>
        <w:t>支出。</w:t>
      </w:r>
      <w:r>
        <w:rPr>
          <w:rFonts w:hint="eastAsia" w:ascii="仿宋" w:hAnsi="仿宋" w:eastAsia="仿宋" w:cs="仿宋"/>
          <w:sz w:val="32"/>
          <w:szCs w:val="32"/>
          <w:lang w:val="en-US" w:eastAsia="zh-CN"/>
        </w:rPr>
        <w:t>　　</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（七）社会保障和就业（类）行政事业单位养老支出（款）机关事业单位基本养老保险缴费支出（项）：</w:t>
      </w:r>
      <w:r>
        <w:rPr>
          <w:rFonts w:hint="eastAsia" w:ascii="仿宋" w:hAnsi="仿宋" w:eastAsia="仿宋" w:cs="仿宋"/>
          <w:sz w:val="32"/>
          <w:szCs w:val="32"/>
          <w:lang w:val="en-US" w:eastAsia="zh-CN"/>
        </w:rPr>
        <w:t>指</w:t>
      </w:r>
      <w:r>
        <w:rPr>
          <w:rFonts w:hint="eastAsia" w:ascii="仿宋" w:hAnsi="仿宋" w:eastAsia="仿宋" w:cs="仿宋"/>
          <w:spacing w:val="-6"/>
          <w:sz w:val="32"/>
          <w:szCs w:val="32"/>
        </w:rPr>
        <w:t>广元市统计局</w:t>
      </w:r>
      <w:r>
        <w:rPr>
          <w:rFonts w:hint="eastAsia" w:ascii="仿宋" w:hAnsi="仿宋" w:eastAsia="仿宋" w:cs="仿宋"/>
          <w:sz w:val="32"/>
          <w:szCs w:val="32"/>
          <w:lang w:val="en-US" w:eastAsia="zh-CN"/>
        </w:rPr>
        <w:t>实施养老保险制度由单位缴纳的养老保险的支出。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（八）卫生健康（类）行政事业单位医疗（款）行政单位医疗（项）：</w:t>
      </w:r>
      <w:r>
        <w:rPr>
          <w:rFonts w:hint="eastAsia" w:ascii="仿宋" w:hAnsi="仿宋" w:eastAsia="仿宋" w:cs="仿宋"/>
          <w:sz w:val="32"/>
          <w:szCs w:val="32"/>
          <w:lang w:val="en-US" w:eastAsia="zh-CN"/>
        </w:rPr>
        <w:t>指</w:t>
      </w:r>
      <w:r>
        <w:rPr>
          <w:rFonts w:hint="eastAsia" w:ascii="仿宋" w:hAnsi="仿宋" w:eastAsia="仿宋" w:cs="仿宋"/>
          <w:sz w:val="32"/>
          <w:szCs w:val="32"/>
        </w:rPr>
        <w:t>广元市统计局</w:t>
      </w:r>
      <w:r>
        <w:rPr>
          <w:rFonts w:hint="eastAsia" w:ascii="仿宋" w:hAnsi="仿宋" w:eastAsia="仿宋" w:cs="仿宋"/>
          <w:sz w:val="32"/>
          <w:szCs w:val="32"/>
          <w:lang w:val="en-US" w:eastAsia="zh-CN"/>
        </w:rPr>
        <w:t>及参公管理事业单位用于单位应缴纳基本医疗保险支出。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楷体" w:hAnsi="楷体" w:eastAsia="楷体" w:cs="楷体"/>
          <w:sz w:val="32"/>
          <w:szCs w:val="32"/>
          <w:lang w:val="en-US" w:eastAsia="zh-CN"/>
        </w:rPr>
        <w:t xml:space="preserve">  （九）住房保障（类）住房改革支出（款）住房公积金（项）：</w:t>
      </w:r>
      <w:r>
        <w:rPr>
          <w:rFonts w:hint="eastAsia" w:ascii="仿宋" w:hAnsi="仿宋" w:eastAsia="仿宋" w:cs="仿宋"/>
          <w:sz w:val="32"/>
          <w:szCs w:val="32"/>
          <w:lang w:val="en-US" w:eastAsia="zh-CN"/>
        </w:rPr>
        <w:t>指按照《住房公积金管理条例》的规定，由单位及其在职职工缴存的长期住房储金。</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w:t>
      </w:r>
      <w:r>
        <w:rPr>
          <w:rFonts w:hint="eastAsia" w:ascii="楷体" w:hAnsi="楷体" w:eastAsia="楷体" w:cs="楷体"/>
          <w:sz w:val="32"/>
          <w:szCs w:val="32"/>
          <w:lang w:val="en-US" w:eastAsia="zh-CN"/>
        </w:rPr>
        <w:t>　（十）基本支出：</w:t>
      </w:r>
      <w:r>
        <w:rPr>
          <w:rFonts w:hint="eastAsia" w:ascii="仿宋" w:hAnsi="仿宋" w:eastAsia="仿宋" w:cs="仿宋"/>
          <w:sz w:val="32"/>
          <w:szCs w:val="32"/>
          <w:lang w:val="en-US" w:eastAsia="zh-CN"/>
        </w:rPr>
        <w:t>指为保证机构正常运转，完成日常工作任务而发生的人员支出和公用支出。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（十一）项目支出：</w:t>
      </w:r>
      <w:r>
        <w:rPr>
          <w:rFonts w:hint="eastAsia" w:ascii="仿宋" w:hAnsi="仿宋" w:eastAsia="仿宋" w:cs="仿宋"/>
          <w:sz w:val="32"/>
          <w:szCs w:val="32"/>
          <w:lang w:val="en-US" w:eastAsia="zh-CN"/>
        </w:rPr>
        <w:t>指在基本支出之外为完成特定行政任务</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和事业发展目标所发生的支出。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（十二）“三公”经费：</w:t>
      </w:r>
      <w:r>
        <w:rPr>
          <w:rFonts w:hint="eastAsia" w:ascii="仿宋" w:hAnsi="仿宋" w:eastAsia="仿宋" w:cs="仿宋"/>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 w:hAnsi="仿宋" w:eastAsia="仿宋" w:cs="仿宋"/>
          <w:sz w:val="32"/>
          <w:szCs w:val="32"/>
          <w:lang w:val="en-US" w:eastAsia="zh-CN"/>
        </w:rPr>
        <w:br w:type="textWrapping"/>
      </w:r>
      <w:r>
        <w:rPr>
          <w:rFonts w:hint="eastAsia" w:ascii="楷体" w:hAnsi="楷体" w:eastAsia="楷体" w:cs="楷体"/>
          <w:sz w:val="32"/>
          <w:szCs w:val="32"/>
          <w:lang w:val="en-US" w:eastAsia="zh-CN"/>
        </w:rPr>
        <w:t xml:space="preserve">    （十三）机关运行经费：</w:t>
      </w:r>
      <w:r>
        <w:rPr>
          <w:rFonts w:hint="eastAsia" w:ascii="仿宋" w:hAnsi="仿宋" w:eastAsia="仿宋" w:cs="仿宋"/>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附件：部门预算公开表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sectPr>
      <w:footerReference r:id="rId4" w:type="default"/>
      <w:pgSz w:w="11906" w:h="16838"/>
      <w:pgMar w:top="2098" w:right="1474" w:bottom="1984" w:left="1587" w:header="720" w:footer="1389"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Vijay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6888"/>
        <w:tab w:val="clear" w:pos="4153"/>
      </w:tabs>
      <w:rPr>
        <w:rFonts w:hint="default"/>
        <w:lang w:val="en-US"/>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bidi w:val="0"/>
                            <w:adjustRightInd/>
                            <w:snapToGrid w:val="0"/>
                            <w:spacing w:line="5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bidi w:val="0"/>
                      <w:adjustRightInd/>
                      <w:snapToGrid w:val="0"/>
                      <w:spacing w:line="56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4571365</wp:posOffset>
              </wp:positionH>
              <wp:positionV relativeFrom="paragraph">
                <wp:posOffset>0</wp:posOffset>
              </wp:positionV>
              <wp:extent cx="1055370" cy="5156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55370" cy="515620"/>
                      </a:xfrm>
                      <a:prstGeom prst="rect">
                        <a:avLst/>
                      </a:prstGeom>
                      <a:noFill/>
                      <a:ln>
                        <a:noFill/>
                      </a:ln>
                    </wps:spPr>
                    <wps:txbx>
                      <w:txbxContent>
                        <w:p>
                          <w:pPr>
                            <w:rPr>
                              <w:rFonts w:hint="eastAsia"/>
                            </w:rPr>
                          </w:pPr>
                        </w:p>
                      </w:txbxContent>
                    </wps:txbx>
                    <wps:bodyPr vert="horz" wrap="square" lIns="0" tIns="0" rIns="0" bIns="0" anchor="t" anchorCtr="0" upright="0">
                      <a:noAutofit/>
                    </wps:bodyPr>
                  </wps:wsp>
                </a:graphicData>
              </a:graphic>
            </wp:anchor>
          </w:drawing>
        </mc:Choice>
        <mc:Fallback>
          <w:pict>
            <v:shape id="_x0000_s1026" o:spid="_x0000_s1026" o:spt="202" type="#_x0000_t202" style="position:absolute;left:0pt;margin-left:359.95pt;margin-top:0pt;height:40.6pt;width:83.1pt;mso-position-horizontal-relative:margin;z-index:251659264;mso-width-relative:page;mso-height-relative:page;" filled="f" stroked="f" coordsize="21600,21600" o:gfxdata="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Dwmb/WAAAABwEA&#10;AA8AAAAAAAAAAQAgAAAAIgAAAGRycy9kb3ducmV2LnhtbFBLAQIUABQAAAAIAIdO4kCAMugg4wEA&#10;AL8DAAAOAAAAAAAAAAEAIAAAACUBAABkcnMvZTJvRG9jLnhtbFBLBQYAAAAABgAGAFkBAAB6BQAA&#10;AAA=&#10;">
              <v:fill on="f" focussize="0,0"/>
              <v:stroke on="f"/>
              <v:imagedata o:title=""/>
              <o:lock v:ext="edit" aspectratio="f"/>
              <v:textbox inset="0mm,0mm,0mm,0mm">
                <w:txbxContent>
                  <w:p>
                    <w:pPr>
                      <w:rPr>
                        <w:rFonts w:hint="eastAsia"/>
                      </w:rPr>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posOffset>2192020</wp:posOffset>
              </wp:positionH>
              <wp:positionV relativeFrom="paragraph">
                <wp:posOffset>-179705</wp:posOffset>
              </wp:positionV>
              <wp:extent cx="1232535" cy="50609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32535" cy="5060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72.6pt;margin-top:-14.15pt;height:39.85pt;width:97.05pt;mso-position-horizontal-relative:margin;z-index:251660288;mso-width-relative:page;mso-height-relative:page;" filled="f" stroked="f" coordsize="21600,21600" o:gfxdata="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4SSfQ2QAAAAoBAAAPAAAAAAAAAAEAIAAAACIAAABkcnMvZG93&#10;bnJldi54bWxQSwECFAAUAAAACACHTuJAYq//LTgCAABiBAAADgAAAAAAAAABACAAAAAoAQAAZHJz&#10;L2Uyb0RvYy54bWxQSwUGAAAAAAYABgBZAQAA0gUAAAAA&#10;">
              <v:fill on="f" focussize="0,0"/>
              <v:stroke on="f" weight="0.5pt"/>
              <v:imagedata o:title=""/>
              <o:lock v:ext="edit" aspectratio="f"/>
              <v:textbox inset="0mm,0mm,0mm,0mm">
                <w:txbxContent>
                  <w:p/>
                </w:txbxContent>
              </v:textbox>
            </v:shape>
          </w:pict>
        </mc:Fallback>
      </mc:AlternateContent>
    </w:r>
    <w:r>
      <w:rPr>
        <w:rFonts w:hint="eastAsia"/>
        <w:lang w:eastAsia="zh-CN"/>
      </w:rPr>
      <w:tab/>
    </w:r>
    <w:r>
      <w:rPr>
        <w:rFonts w:hint="eastAsia"/>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DC1D37"/>
    <w:multiLevelType w:val="singleLevel"/>
    <w:tmpl w:val="A5DC1D37"/>
    <w:lvl w:ilvl="0" w:tentative="0">
      <w:start w:val="2"/>
      <w:numFmt w:val="chineseCounting"/>
      <w:suff w:val="nothing"/>
      <w:lvlText w:val="（%1）"/>
      <w:lvlJc w:val="left"/>
      <w:rPr>
        <w:rFonts w:hint="eastAsia"/>
      </w:rPr>
    </w:lvl>
  </w:abstractNum>
  <w:abstractNum w:abstractNumId="1">
    <w:nsid w:val="35461554"/>
    <w:multiLevelType w:val="singleLevel"/>
    <w:tmpl w:val="35461554"/>
    <w:lvl w:ilvl="0" w:tentative="0">
      <w:start w:val="8"/>
      <w:numFmt w:val="chineseCounting"/>
      <w:suff w:val="nothing"/>
      <w:lvlText w:val="%1、"/>
      <w:lvlJc w:val="left"/>
      <w:rPr>
        <w:rFonts w:hint="eastAsia"/>
      </w:rPr>
    </w:lvl>
  </w:abstractNum>
  <w:abstractNum w:abstractNumId="2">
    <w:nsid w:val="5BFCE1D6"/>
    <w:multiLevelType w:val="singleLevel"/>
    <w:tmpl w:val="5BFCE1D6"/>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kZTlmMzNjZjA4NGFjZjgzNWM2ODQzZGE0Nzc2YWEifQ=="/>
  </w:docVars>
  <w:rsids>
    <w:rsidRoot w:val="00000000"/>
    <w:rsid w:val="012352D1"/>
    <w:rsid w:val="020B07BA"/>
    <w:rsid w:val="05AD7DDA"/>
    <w:rsid w:val="066F04FF"/>
    <w:rsid w:val="06A46D17"/>
    <w:rsid w:val="073E705D"/>
    <w:rsid w:val="07B4016B"/>
    <w:rsid w:val="07CF7529"/>
    <w:rsid w:val="09863F87"/>
    <w:rsid w:val="0A1D3958"/>
    <w:rsid w:val="0AA44AB1"/>
    <w:rsid w:val="0B941820"/>
    <w:rsid w:val="0CE40EB1"/>
    <w:rsid w:val="0D31309F"/>
    <w:rsid w:val="0D6671EC"/>
    <w:rsid w:val="0FA933C0"/>
    <w:rsid w:val="10020672"/>
    <w:rsid w:val="10AA6729"/>
    <w:rsid w:val="10DE62E5"/>
    <w:rsid w:val="14FC0436"/>
    <w:rsid w:val="15413A64"/>
    <w:rsid w:val="162437A1"/>
    <w:rsid w:val="162C08A7"/>
    <w:rsid w:val="18526D64"/>
    <w:rsid w:val="18697B91"/>
    <w:rsid w:val="19771B7E"/>
    <w:rsid w:val="1B031AF6"/>
    <w:rsid w:val="1BE334DF"/>
    <w:rsid w:val="1C965B45"/>
    <w:rsid w:val="1D8334A3"/>
    <w:rsid w:val="1D9F113A"/>
    <w:rsid w:val="1EA36355"/>
    <w:rsid w:val="1F7BF06F"/>
    <w:rsid w:val="1FEE4B73"/>
    <w:rsid w:val="20054643"/>
    <w:rsid w:val="23CE9849"/>
    <w:rsid w:val="24044C11"/>
    <w:rsid w:val="24B71C84"/>
    <w:rsid w:val="24B93C4E"/>
    <w:rsid w:val="255D4632"/>
    <w:rsid w:val="25972AEB"/>
    <w:rsid w:val="269F64C8"/>
    <w:rsid w:val="279D33D4"/>
    <w:rsid w:val="27AB7378"/>
    <w:rsid w:val="285508BC"/>
    <w:rsid w:val="28987C65"/>
    <w:rsid w:val="28FC074F"/>
    <w:rsid w:val="29114058"/>
    <w:rsid w:val="2A81513F"/>
    <w:rsid w:val="2C195961"/>
    <w:rsid w:val="2F6E3A80"/>
    <w:rsid w:val="309E2963"/>
    <w:rsid w:val="31C87720"/>
    <w:rsid w:val="322F72FD"/>
    <w:rsid w:val="33272DBF"/>
    <w:rsid w:val="342A4220"/>
    <w:rsid w:val="34935BC5"/>
    <w:rsid w:val="356C7B56"/>
    <w:rsid w:val="35B75F88"/>
    <w:rsid w:val="35BC22C3"/>
    <w:rsid w:val="362D7FF8"/>
    <w:rsid w:val="365D08DD"/>
    <w:rsid w:val="372799D5"/>
    <w:rsid w:val="37AD2ACE"/>
    <w:rsid w:val="384E5D69"/>
    <w:rsid w:val="38B62526"/>
    <w:rsid w:val="39F304DD"/>
    <w:rsid w:val="3AE6254A"/>
    <w:rsid w:val="3B2E678B"/>
    <w:rsid w:val="3B5D4EDB"/>
    <w:rsid w:val="3C495460"/>
    <w:rsid w:val="3CCC056A"/>
    <w:rsid w:val="3CCD6091"/>
    <w:rsid w:val="3F2B709E"/>
    <w:rsid w:val="3F9F5908"/>
    <w:rsid w:val="401B1439"/>
    <w:rsid w:val="41961147"/>
    <w:rsid w:val="42185F27"/>
    <w:rsid w:val="4346094B"/>
    <w:rsid w:val="43F81C45"/>
    <w:rsid w:val="441E52CE"/>
    <w:rsid w:val="47005811"/>
    <w:rsid w:val="48A979B2"/>
    <w:rsid w:val="49553696"/>
    <w:rsid w:val="49573CB4"/>
    <w:rsid w:val="49975A5C"/>
    <w:rsid w:val="49BE123B"/>
    <w:rsid w:val="4A280DAA"/>
    <w:rsid w:val="4B5B3482"/>
    <w:rsid w:val="4C1B5ADB"/>
    <w:rsid w:val="4F8B41A9"/>
    <w:rsid w:val="50F02564"/>
    <w:rsid w:val="54244390"/>
    <w:rsid w:val="54662A63"/>
    <w:rsid w:val="55F65CBA"/>
    <w:rsid w:val="56870BCE"/>
    <w:rsid w:val="56F73FDE"/>
    <w:rsid w:val="5737262D"/>
    <w:rsid w:val="58064E12"/>
    <w:rsid w:val="584F41FB"/>
    <w:rsid w:val="586A752E"/>
    <w:rsid w:val="59353C65"/>
    <w:rsid w:val="59575208"/>
    <w:rsid w:val="5ADA3B55"/>
    <w:rsid w:val="5B5E462C"/>
    <w:rsid w:val="5B7025B1"/>
    <w:rsid w:val="5BFEE015"/>
    <w:rsid w:val="5C263F17"/>
    <w:rsid w:val="5CD252D1"/>
    <w:rsid w:val="5CE8562A"/>
    <w:rsid w:val="5EA44A4C"/>
    <w:rsid w:val="60193217"/>
    <w:rsid w:val="6189456E"/>
    <w:rsid w:val="61CC08E4"/>
    <w:rsid w:val="6208709F"/>
    <w:rsid w:val="6278617E"/>
    <w:rsid w:val="63EDCF55"/>
    <w:rsid w:val="63FBFBCF"/>
    <w:rsid w:val="641F4B74"/>
    <w:rsid w:val="64941D5F"/>
    <w:rsid w:val="64A15589"/>
    <w:rsid w:val="64DD4813"/>
    <w:rsid w:val="669360FD"/>
    <w:rsid w:val="66EC3CA2"/>
    <w:rsid w:val="67CF0DBE"/>
    <w:rsid w:val="68122FB4"/>
    <w:rsid w:val="68EA74C5"/>
    <w:rsid w:val="68FF6A83"/>
    <w:rsid w:val="699B2EEF"/>
    <w:rsid w:val="6AEF6005"/>
    <w:rsid w:val="6B6D2C2F"/>
    <w:rsid w:val="6CBD4F2A"/>
    <w:rsid w:val="6DF13FB0"/>
    <w:rsid w:val="6E3DB48E"/>
    <w:rsid w:val="6EB17731"/>
    <w:rsid w:val="6EDF6BE8"/>
    <w:rsid w:val="6FBBC9CF"/>
    <w:rsid w:val="70C05BB2"/>
    <w:rsid w:val="71307EC7"/>
    <w:rsid w:val="72BDE561"/>
    <w:rsid w:val="733C45F3"/>
    <w:rsid w:val="74177616"/>
    <w:rsid w:val="76B21BA8"/>
    <w:rsid w:val="78462278"/>
    <w:rsid w:val="78511348"/>
    <w:rsid w:val="7997EA6C"/>
    <w:rsid w:val="799D05BD"/>
    <w:rsid w:val="7AA00365"/>
    <w:rsid w:val="7AEAE675"/>
    <w:rsid w:val="7BAFCE5D"/>
    <w:rsid w:val="7CF44998"/>
    <w:rsid w:val="7D1D5C9D"/>
    <w:rsid w:val="7D46598C"/>
    <w:rsid w:val="7D9F8F0F"/>
    <w:rsid w:val="7DFB240B"/>
    <w:rsid w:val="7DFE05E7"/>
    <w:rsid w:val="7E0935ED"/>
    <w:rsid w:val="7F38184C"/>
    <w:rsid w:val="7F3D2627"/>
    <w:rsid w:val="7FA97CBC"/>
    <w:rsid w:val="7FBF128D"/>
    <w:rsid w:val="7FCF2AF7"/>
    <w:rsid w:val="7FE823C1"/>
    <w:rsid w:val="9FEF033D"/>
    <w:rsid w:val="A27FF1E5"/>
    <w:rsid w:val="AF3FEDDD"/>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88D0DC7"/>
    <w:rsid w:val="FAE4EFE1"/>
    <w:rsid w:val="FB9B6F12"/>
    <w:rsid w:val="FBB66A4A"/>
    <w:rsid w:val="FDEE6989"/>
    <w:rsid w:val="FF5E7DB8"/>
    <w:rsid w:val="FF77E367"/>
    <w:rsid w:val="FFD576EB"/>
    <w:rsid w:val="FFDB1578"/>
    <w:rsid w:val="FFFADE43"/>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caption"/>
    <w:basedOn w:val="1"/>
    <w:autoRedefine/>
    <w:qFormat/>
    <w:uiPriority w:val="0"/>
    <w:pPr>
      <w:widowControl w:val="0"/>
      <w:suppressLineNumbers/>
      <w:suppressAutoHyphens/>
      <w:spacing w:before="120" w:after="120"/>
    </w:pPr>
    <w:rPr>
      <w:i/>
      <w:iCs/>
      <w:sz w:val="24"/>
      <w:szCs w:val="24"/>
    </w:rPr>
  </w:style>
  <w:style w:type="paragraph" w:styleId="3">
    <w:name w:val="Body Text"/>
    <w:basedOn w:val="1"/>
    <w:autoRedefine/>
    <w:qFormat/>
    <w:uiPriority w:val="0"/>
    <w:pPr>
      <w:spacing w:before="0" w:after="140" w:line="276" w:lineRule="auto"/>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3"/>
    <w:autoRedefine/>
    <w:qFormat/>
    <w:uiPriority w:val="0"/>
  </w:style>
  <w:style w:type="paragraph" w:styleId="7">
    <w:name w:val="table of figures"/>
    <w:basedOn w:val="1"/>
    <w:next w:val="1"/>
    <w:autoRedefine/>
    <w:qFormat/>
    <w:uiPriority w:val="0"/>
    <w:pPr>
      <w:ind w:left="400" w:leftChars="200" w:hanging="200" w:hangingChars="200"/>
    </w:pPr>
    <w:rPr>
      <w:rFonts w:ascii="Calibri" w:hAnsi="Calibri" w:eastAsia="宋体" w:cs="Times New Roman"/>
      <w:szCs w:val="24"/>
    </w:rPr>
  </w:style>
  <w:style w:type="paragraph" w:styleId="8">
    <w:name w:val="Normal (Web)"/>
    <w:basedOn w:val="1"/>
    <w:autoRedefine/>
    <w:qFormat/>
    <w:uiPriority w:val="0"/>
    <w:rPr>
      <w:sz w:val="24"/>
    </w:rPr>
  </w:style>
  <w:style w:type="character" w:customStyle="1" w:styleId="11">
    <w:name w:val="默认段落字体1"/>
    <w:autoRedefine/>
    <w:qFormat/>
    <w:uiPriority w:val="0"/>
  </w:style>
  <w:style w:type="paragraph" w:customStyle="1" w:styleId="12">
    <w:name w:val="Heading"/>
    <w:basedOn w:val="1"/>
    <w:next w:val="3"/>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3">
    <w:name w:val="Index"/>
    <w:basedOn w:val="1"/>
    <w:autoRedefine/>
    <w:qFormat/>
    <w:uiPriority w:val="0"/>
    <w:pPr>
      <w:widowControl w:val="0"/>
      <w:suppressLineNumbers/>
      <w:suppressAutoHyphens/>
    </w:pPr>
  </w:style>
  <w:style w:type="paragraph" w:customStyle="1" w:styleId="14">
    <w:name w:val="图表目录1"/>
    <w:basedOn w:val="1"/>
    <w:next w:val="1"/>
    <w:autoRedefine/>
    <w:qFormat/>
    <w:uiPriority w:val="0"/>
    <w:pPr>
      <w:ind w:left="400" w:leftChars="200" w:hanging="200" w:hanging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20</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2018-11-30T01:47:00Z</dcterms:created>
  <dc:creator>admin</dc:creator>
  <cp:lastModifiedBy>喜月</cp:lastModifiedBy>
  <dcterms:modified xsi:type="dcterms:W3CDTF">2024-02-07T07:33:23Z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96081F72B7444D3C8C1C7DDAED24732C_13</vt:lpwstr>
  </property>
</Properties>
</file>