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33438">
      <w:pPr>
        <w:rPr>
          <w:rFonts w:ascii="Times New Roman" w:hAnsi="Times New Roman"/>
          <w:color w:val="000000" w:themeColor="text1"/>
          <w14:textFill>
            <w14:solidFill>
              <w14:schemeClr w14:val="tx1"/>
            </w14:solidFill>
          </w14:textFill>
        </w:rPr>
      </w:pPr>
      <w:bookmarkStart w:id="0" w:name="_Toc15396597"/>
      <w:bookmarkStart w:id="1" w:name="_Toc15377193"/>
      <w:bookmarkStart w:id="2" w:name="_Toc15396475"/>
      <w:bookmarkStart w:id="3" w:name="_Toc15378441"/>
      <w:bookmarkStart w:id="4" w:name="_Toc15377425"/>
      <w:bookmarkStart w:id="5" w:name="_Toc15306267"/>
    </w:p>
    <w:p w14:paraId="36BF1604">
      <w:pPr>
        <w:pStyle w:val="6"/>
        <w:jc w:val="center"/>
        <w:rPr>
          <w:rFonts w:hint="default"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pPr>
    </w:p>
    <w:p w14:paraId="5D2BCF18">
      <w:pPr>
        <w:pStyle w:val="6"/>
        <w:jc w:val="center"/>
        <w:rPr>
          <w:rFonts w:hint="eastAsia"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pPr>
    </w:p>
    <w:p w14:paraId="40FD416E">
      <w:pPr>
        <w:pStyle w:val="6"/>
        <w:jc w:val="center"/>
        <w:rPr>
          <w:rFonts w:hint="eastAsia"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pPr>
    </w:p>
    <w:p w14:paraId="1A870348">
      <w:pPr>
        <w:pStyle w:val="6"/>
        <w:jc w:val="center"/>
        <w:rPr>
          <w:rFonts w:hint="eastAsia"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pPr>
    </w:p>
    <w:bookmarkEnd w:id="0"/>
    <w:bookmarkEnd w:id="1"/>
    <w:bookmarkEnd w:id="2"/>
    <w:bookmarkEnd w:id="3"/>
    <w:bookmarkEnd w:id="4"/>
    <w:p w14:paraId="5C7D75BF">
      <w:pPr>
        <w:pStyle w:val="6"/>
        <w:jc w:val="center"/>
        <w:rPr>
          <w:rFonts w:hint="eastAsia" w:ascii="方正小标宋简体" w:hAnsi="方正小标宋简体" w:eastAsia="方正小标宋简体" w:cs="方正小标宋简体"/>
          <w:color w:val="000000" w:themeColor="text1"/>
          <w:kern w:val="2"/>
          <w:sz w:val="52"/>
          <w:szCs w:val="52"/>
          <w:highlight w:val="none"/>
          <w:lang w:val="en-US" w:eastAsia="zh-CN" w:bidi="ar-SA"/>
          <w14:textFill>
            <w14:solidFill>
              <w14:schemeClr w14:val="tx1"/>
            </w14:solidFill>
          </w14:textFill>
        </w:rPr>
      </w:pPr>
      <w:bookmarkStart w:id="6" w:name="_Toc15396598"/>
      <w:bookmarkStart w:id="7" w:name="_Toc15378442"/>
      <w:bookmarkStart w:id="8" w:name="_Toc15396476"/>
      <w:bookmarkStart w:id="9" w:name="_Toc15377426"/>
      <w:bookmarkStart w:id="10" w:name="_Toc15377194"/>
      <w:r>
        <w:rPr>
          <w:rFonts w:hint="eastAsia" w:ascii="方正小标宋简体" w:hAnsi="方正小标宋简体" w:eastAsia="方正小标宋简体" w:cs="方正小标宋简体"/>
          <w:color w:val="000000" w:themeColor="text1"/>
          <w:kern w:val="2"/>
          <w:sz w:val="52"/>
          <w:szCs w:val="52"/>
          <w:highlight w:val="none"/>
          <w:lang w:val="en-US" w:eastAsia="zh-CN" w:bidi="ar-SA"/>
          <w14:textFill>
            <w14:solidFill>
              <w14:schemeClr w14:val="tx1"/>
            </w14:solidFill>
          </w14:textFill>
        </w:rPr>
        <w:t>2024年度</w:t>
      </w:r>
      <w:bookmarkEnd w:id="5"/>
      <w:bookmarkStart w:id="11" w:name="_Toc15306268"/>
      <w:r>
        <w:rPr>
          <w:rFonts w:hint="eastAsia" w:ascii="方正小标宋简体" w:hAnsi="方正小标宋简体" w:eastAsia="方正小标宋简体" w:cs="方正小标宋简体"/>
          <w:color w:val="000000" w:themeColor="text1"/>
          <w:kern w:val="2"/>
          <w:sz w:val="52"/>
          <w:szCs w:val="52"/>
          <w:highlight w:val="none"/>
          <w:lang w:val="en-US" w:eastAsia="zh-CN" w:bidi="ar-SA"/>
          <w14:textFill>
            <w14:solidFill>
              <w14:schemeClr w14:val="tx1"/>
            </w14:solidFill>
          </w14:textFill>
        </w:rPr>
        <w:t>广元市统计局部门决算</w:t>
      </w:r>
      <w:bookmarkEnd w:id="6"/>
      <w:bookmarkEnd w:id="7"/>
      <w:bookmarkEnd w:id="8"/>
      <w:bookmarkEnd w:id="9"/>
      <w:bookmarkEnd w:id="10"/>
      <w:bookmarkEnd w:id="11"/>
    </w:p>
    <w:p w14:paraId="119FD349">
      <w:pPr>
        <w:widowControl/>
        <w:jc w:val="center"/>
        <w:rPr>
          <w:rFonts w:hint="eastAsia" w:eastAsia="方正小标宋简体"/>
          <w:color w:val="000000" w:themeColor="text1"/>
          <w:sz w:val="36"/>
          <w:szCs w:val="36"/>
          <w:highlight w:val="none"/>
          <w:lang w:val="en-US" w:eastAsia="zh-CN"/>
          <w14:textFill>
            <w14:solidFill>
              <w14:schemeClr w14:val="tx1"/>
            </w14:solidFill>
          </w14:textFill>
        </w:rPr>
      </w:pPr>
      <w:r>
        <w:rPr>
          <w:rFonts w:hint="eastAsia" w:eastAsia="方正小标宋简体"/>
          <w:color w:val="000000" w:themeColor="text1"/>
          <w:sz w:val="36"/>
          <w:szCs w:val="36"/>
          <w:highlight w:val="none"/>
          <w:lang w:val="en-US" w:eastAsia="zh-CN"/>
          <w14:textFill>
            <w14:solidFill>
              <w14:schemeClr w14:val="tx1"/>
            </w14:solidFill>
          </w14:textFill>
        </w:rPr>
        <w:t xml:space="preserve"> </w:t>
      </w:r>
    </w:p>
    <w:p w14:paraId="5BBAC4D7">
      <w:pPr>
        <w:widowControl/>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ascii="Times New Roman" w:hAnsi="Times New Roman" w:eastAsia="方正小标宋简体"/>
          <w:color w:val="000000" w:themeColor="text1"/>
          <w:sz w:val="36"/>
          <w:szCs w:val="36"/>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目</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录</w:t>
      </w:r>
    </w:p>
    <w:p w14:paraId="29F6714F">
      <w:pPr>
        <w:pStyle w:val="12"/>
        <w:rPr>
          <w:rFonts w:hint="eastAsia"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公开时间：20</w:t>
      </w:r>
      <w:r>
        <w:rPr>
          <w:rFonts w:hint="eastAsia" w:ascii="楷体" w:hAnsi="楷体" w:eastAsia="楷体" w:cs="楷体"/>
          <w:color w:val="000000" w:themeColor="text1"/>
          <w:sz w:val="32"/>
          <w:szCs w:val="32"/>
          <w:highlight w:val="none"/>
          <w:lang w:val="en-US" w:eastAsia="zh-CN"/>
          <w14:textFill>
            <w14:solidFill>
              <w14:schemeClr w14:val="tx1"/>
            </w14:solidFill>
          </w14:textFill>
        </w:rPr>
        <w:t>25</w:t>
      </w:r>
      <w:r>
        <w:rPr>
          <w:rFonts w:hint="eastAsia" w:ascii="楷体" w:hAnsi="楷体" w:eastAsia="楷体" w:cs="楷体"/>
          <w:color w:val="000000" w:themeColor="text1"/>
          <w:sz w:val="32"/>
          <w:szCs w:val="32"/>
          <w:highlight w:val="none"/>
          <w14:textFill>
            <w14:solidFill>
              <w14:schemeClr w14:val="tx1"/>
            </w14:solidFill>
          </w14:textFill>
        </w:rPr>
        <w:t>年</w:t>
      </w:r>
      <w:r>
        <w:rPr>
          <w:rFonts w:hint="eastAsia" w:ascii="楷体" w:hAnsi="楷体" w:eastAsia="楷体" w:cs="楷体"/>
          <w:color w:val="000000" w:themeColor="text1"/>
          <w:sz w:val="32"/>
          <w:szCs w:val="32"/>
          <w:highlight w:val="none"/>
          <w:lang w:val="en-US" w:eastAsia="zh-CN"/>
          <w14:textFill>
            <w14:solidFill>
              <w14:schemeClr w14:val="tx1"/>
            </w14:solidFill>
          </w14:textFill>
        </w:rPr>
        <w:t>10</w:t>
      </w:r>
      <w:r>
        <w:rPr>
          <w:rFonts w:hint="eastAsia" w:ascii="楷体" w:hAnsi="楷体" w:eastAsia="楷体" w:cs="楷体"/>
          <w:color w:val="000000" w:themeColor="text1"/>
          <w:sz w:val="32"/>
          <w:szCs w:val="32"/>
          <w:highlight w:val="none"/>
          <w14:textFill>
            <w14:solidFill>
              <w14:schemeClr w14:val="tx1"/>
            </w14:solidFill>
          </w14:textFill>
        </w:rPr>
        <w:t>月</w:t>
      </w:r>
      <w:r>
        <w:rPr>
          <w:rFonts w:hint="eastAsia" w:ascii="楷体" w:hAnsi="楷体" w:eastAsia="楷体" w:cs="楷体"/>
          <w:color w:val="000000" w:themeColor="text1"/>
          <w:sz w:val="32"/>
          <w:szCs w:val="32"/>
          <w:highlight w:val="none"/>
          <w:lang w:val="en-US" w:eastAsia="zh-CN"/>
          <w14:textFill>
            <w14:solidFill>
              <w14:schemeClr w14:val="tx1"/>
            </w14:solidFill>
          </w14:textFill>
        </w:rPr>
        <w:t>2</w:t>
      </w:r>
      <w:r>
        <w:rPr>
          <w:rFonts w:hint="eastAsia" w:ascii="楷体" w:hAnsi="楷体" w:eastAsia="楷体" w:cs="楷体"/>
          <w:color w:val="000000" w:themeColor="text1"/>
          <w:sz w:val="32"/>
          <w:szCs w:val="32"/>
          <w:highlight w:val="none"/>
          <w14:textFill>
            <w14:solidFill>
              <w14:schemeClr w14:val="tx1"/>
            </w14:solidFill>
          </w14:textFill>
        </w:rPr>
        <w:t>日</w:t>
      </w:r>
    </w:p>
    <w:sdt>
      <w:sdtPr>
        <w:rPr>
          <w:rFonts w:ascii="宋体" w:hAnsi="宋体" w:eastAsia="宋体" w:cs="Times New Roman"/>
          <w:color w:val="000000" w:themeColor="text1"/>
          <w:kern w:val="2"/>
          <w:sz w:val="21"/>
          <w:szCs w:val="24"/>
          <w:lang w:val="en-US" w:eastAsia="zh-CN" w:bidi="ar-SA"/>
          <w14:textFill>
            <w14:solidFill>
              <w14:schemeClr w14:val="tx1"/>
            </w14:solidFill>
          </w14:textFill>
        </w:rPr>
        <w:id w:val="147453230"/>
        <w15:color w:val="DBDBDB"/>
        <w:docPartObj>
          <w:docPartGallery w:val="Table of Contents"/>
          <w:docPartUnique/>
        </w:docPartObj>
      </w:sdtPr>
      <w:sdtEndPr>
        <w:rPr>
          <w:rFonts w:ascii="Times New Roman" w:hAnsi="Times New Roman" w:eastAsia="宋体" w:cs="Times New Roman"/>
          <w:color w:val="000000" w:themeColor="text1"/>
          <w:kern w:val="2"/>
          <w:sz w:val="21"/>
          <w:szCs w:val="24"/>
          <w:highlight w:val="none"/>
          <w:shd w:val="clear" w:color="FFFFFF" w:fill="D9D9D9"/>
          <w:lang w:val="en-US" w:eastAsia="zh-CN" w:bidi="ar-SA"/>
          <w14:textFill>
            <w14:solidFill>
              <w14:schemeClr w14:val="tx1"/>
            </w14:solidFill>
          </w14:textFill>
        </w:rPr>
      </w:sdtEndPr>
      <w:sdtContent>
        <w:p w14:paraId="64FCC80F">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bookmarkStart w:id="101" w:name="_GoBack"/>
          <w:bookmarkEnd w:id="101"/>
        </w:p>
        <w:p w14:paraId="54A50FFD">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val="0"/>
            <w:spacing w:before="0" w:line="360" w:lineRule="auto"/>
            <w:jc w:val="distribute"/>
            <w:textAlignment w:val="auto"/>
            <w:rPr>
              <w:color w:val="000000" w:themeColor="text1"/>
              <w:highlight w:val="none"/>
              <w:shd w:val="clear" w:color="auto" w:fill="auto"/>
              <w14:textFill>
                <w14:solidFill>
                  <w14:schemeClr w14:val="tx1"/>
                </w14:solidFill>
              </w14:textFill>
            </w:rPr>
          </w:pPr>
          <w:r>
            <w:rPr>
              <w:rFonts w:ascii="Times New Roman" w:hAnsi="Times New Roman"/>
              <w:color w:val="000000" w:themeColor="text1"/>
              <w:highlight w:val="none"/>
              <w:shd w:val="clear" w:color="auto" w:fill="auto"/>
              <w14:textFill>
                <w14:solidFill>
                  <w14:schemeClr w14:val="tx1"/>
                </w14:solidFill>
              </w14:textFill>
            </w:rPr>
            <w:fldChar w:fldCharType="begin"/>
          </w:r>
          <w:r>
            <w:rPr>
              <w:rFonts w:ascii="Times New Roman" w:hAnsi="Times New Roman"/>
              <w:color w:val="000000" w:themeColor="text1"/>
              <w:highlight w:val="none"/>
              <w:shd w:val="clear" w:color="auto" w:fill="auto"/>
              <w14:textFill>
                <w14:solidFill>
                  <w14:schemeClr w14:val="tx1"/>
                </w14:solidFill>
              </w14:textFill>
            </w:rPr>
            <w:instrText xml:space="preserve">TOC \o "1-2" \h \u </w:instrText>
          </w:r>
          <w:r>
            <w:rPr>
              <w:rFonts w:ascii="Times New Roman" w:hAnsi="Times New Roman"/>
              <w:color w:val="000000" w:themeColor="text1"/>
              <w:highlight w:val="none"/>
              <w:shd w:val="clear" w:color="auto" w:fill="auto"/>
              <w14:textFill>
                <w14:solidFill>
                  <w14:schemeClr w14:val="tx1"/>
                </w14:solidFill>
              </w14:textFill>
            </w:rPr>
            <w:fldChar w:fldCharType="separate"/>
          </w:r>
          <w:r>
            <w:rPr>
              <w:rFonts w:ascii="Times New Roman" w:hAnsi="Times New Roman"/>
              <w:color w:val="000000" w:themeColor="text1"/>
              <w:highlight w:val="none"/>
              <w:shd w:val="clear" w:color="auto" w:fill="auto"/>
              <w14:textFill>
                <w14:solidFill>
                  <w14:schemeClr w14:val="tx1"/>
                </w14:solidFill>
              </w14:textFill>
            </w:rPr>
            <w:fldChar w:fldCharType="begin"/>
          </w:r>
          <w:r>
            <w:rPr>
              <w:rFonts w:ascii="Times New Roman" w:hAnsi="Times New Roman"/>
              <w:color w:val="000000" w:themeColor="text1"/>
              <w:highlight w:val="none"/>
              <w:shd w:val="clear" w:color="auto" w:fill="auto"/>
              <w14:textFill>
                <w14:solidFill>
                  <w14:schemeClr w14:val="tx1"/>
                </w14:solidFill>
              </w14:textFill>
            </w:rPr>
            <w:instrText xml:space="preserve"> HYPERLINK \l _Toc30363 </w:instrText>
          </w:r>
          <w:r>
            <w:rPr>
              <w:rFonts w:ascii="Times New Roman" w:hAnsi="Times New Roman"/>
              <w:color w:val="000000" w:themeColor="text1"/>
              <w:highlight w:val="none"/>
              <w:shd w:val="clear" w:color="auto" w:fill="auto"/>
              <w14:textFill>
                <w14:solidFill>
                  <w14:schemeClr w14:val="tx1"/>
                </w14:solidFill>
              </w14:textFill>
            </w:rPr>
            <w:fldChar w:fldCharType="separate"/>
          </w:r>
          <w:r>
            <w:rPr>
              <w:rFonts w:hint="eastAsia" w:ascii="Times New Roman" w:hAnsi="Times New Roman" w:eastAsia="方正小标宋简体" w:cs="方正小标宋简体"/>
              <w:color w:val="000000" w:themeColor="text1"/>
              <w:highlight w:val="none"/>
              <w:shd w:val="clear" w:color="auto" w:fill="auto"/>
              <w14:textFill>
                <w14:solidFill>
                  <w14:schemeClr w14:val="tx1"/>
                </w14:solidFill>
              </w14:textFill>
            </w:rPr>
            <w:t>第一部分</w:t>
          </w:r>
          <w:r>
            <w:rPr>
              <w:rFonts w:hint="eastAsia" w:ascii="Times New Roman" w:hAnsi="Times New Roman" w:eastAsia="方正小标宋简体" w:cs="方正小标宋简体"/>
              <w:color w:val="000000" w:themeColor="text1"/>
              <w:highlight w:val="none"/>
              <w:shd w:val="clear" w:color="auto" w:fill="auto"/>
              <w:lang w:val="en-US" w:eastAsia="zh-CN"/>
              <w14:textFill>
                <w14:solidFill>
                  <w14:schemeClr w14:val="tx1"/>
                </w14:solidFill>
              </w14:textFill>
            </w:rPr>
            <w:t xml:space="preserve"> </w:t>
          </w:r>
          <w:r>
            <w:rPr>
              <w:rFonts w:hint="eastAsia" w:ascii="Times New Roman" w:hAnsi="Times New Roman" w:eastAsia="方正小标宋简体" w:cs="方正小标宋简体"/>
              <w:color w:val="000000" w:themeColor="text1"/>
              <w:highlight w:val="none"/>
              <w:shd w:val="clear" w:color="auto" w:fill="auto"/>
              <w14:textFill>
                <w14:solidFill>
                  <w14:schemeClr w14:val="tx1"/>
                </w14:solidFill>
              </w14:textFill>
            </w:rPr>
            <w:t xml:space="preserve"> </w:t>
          </w:r>
          <w:r>
            <w:rPr>
              <w:rFonts w:hint="eastAsia" w:ascii="Times New Roman" w:hAnsi="Times New Roman" w:eastAsia="方正小标宋简体" w:cs="方正小标宋简体"/>
              <w:bCs w:val="0"/>
              <w:color w:val="000000" w:themeColor="text1"/>
              <w:highlight w:val="none"/>
              <w:shd w:val="clear" w:color="auto" w:fill="auto"/>
              <w14:textFill>
                <w14:solidFill>
                  <w14:schemeClr w14:val="tx1"/>
                </w14:solidFill>
              </w14:textFill>
            </w:rPr>
            <w:t>部门概况</w:t>
          </w:r>
          <w:r>
            <w:rPr>
              <w:rFonts w:hint="eastAsia" w:ascii="Times New Roman" w:hAnsi="Times New Roman" w:eastAsia="方正小标宋简体" w:cs="方正小标宋简体"/>
              <w:bCs w:val="0"/>
              <w:color w:val="000000" w:themeColor="text1"/>
              <w:highlight w:val="none"/>
              <w:shd w:val="clear" w:color="auto" w:fill="auto"/>
              <w14:textFill>
                <w14:solidFill>
                  <w14:schemeClr w14:val="tx1"/>
                </w14:solidFill>
              </w14:textFill>
            </w:rPr>
            <w:tab/>
          </w:r>
          <w:r>
            <w:rPr>
              <w:color w:val="000000" w:themeColor="text1"/>
              <w:highlight w:val="none"/>
              <w:shd w:val="clear" w:color="auto" w:fill="auto"/>
              <w14:textFill>
                <w14:solidFill>
                  <w14:schemeClr w14:val="tx1"/>
                </w14:solidFill>
              </w14:textFill>
            </w:rPr>
            <w:fldChar w:fldCharType="begin"/>
          </w:r>
          <w:r>
            <w:rPr>
              <w:color w:val="000000" w:themeColor="text1"/>
              <w:highlight w:val="none"/>
              <w:shd w:val="clear" w:color="auto" w:fill="auto"/>
              <w14:textFill>
                <w14:solidFill>
                  <w14:schemeClr w14:val="tx1"/>
                </w14:solidFill>
              </w14:textFill>
            </w:rPr>
            <w:instrText xml:space="preserve"> PAGEREF _Toc30363 \h </w:instrText>
          </w:r>
          <w:r>
            <w:rPr>
              <w:color w:val="000000" w:themeColor="text1"/>
              <w:highlight w:val="none"/>
              <w:shd w:val="clear" w:color="auto" w:fill="auto"/>
              <w14:textFill>
                <w14:solidFill>
                  <w14:schemeClr w14:val="tx1"/>
                </w14:solidFill>
              </w14:textFill>
            </w:rPr>
            <w:fldChar w:fldCharType="separate"/>
          </w:r>
          <w:r>
            <w:rPr>
              <w:color w:val="000000" w:themeColor="text1"/>
              <w:highlight w:val="none"/>
              <w:shd w:val="clear" w:color="auto" w:fill="auto"/>
              <w14:textFill>
                <w14:solidFill>
                  <w14:schemeClr w14:val="tx1"/>
                </w14:solidFill>
              </w14:textFill>
            </w:rPr>
            <w:t>2</w:t>
          </w:r>
          <w:r>
            <w:rPr>
              <w:color w:val="000000" w:themeColor="text1"/>
              <w:highlight w:val="none"/>
              <w:shd w:val="clear" w:color="auto" w:fill="auto"/>
              <w14:textFill>
                <w14:solidFill>
                  <w14:schemeClr w14:val="tx1"/>
                </w14:solidFill>
              </w14:textFill>
            </w:rPr>
            <w:fldChar w:fldCharType="end"/>
          </w:r>
          <w:r>
            <w:rPr>
              <w:rFonts w:ascii="Times New Roman" w:hAnsi="Times New Roman"/>
              <w:color w:val="000000" w:themeColor="text1"/>
              <w:highlight w:val="none"/>
              <w:shd w:val="clear" w:color="auto" w:fill="auto"/>
              <w14:textFill>
                <w14:solidFill>
                  <w14:schemeClr w14:val="tx1"/>
                </w14:solidFill>
              </w14:textFill>
            </w:rPr>
            <w:fldChar w:fldCharType="end"/>
          </w:r>
        </w:p>
        <w:p w14:paraId="27EFE841">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val="0"/>
            <w:spacing w:line="360" w:lineRule="auto"/>
            <w:ind w:right="225" w:rightChars="107"/>
            <w:textAlignment w:val="auto"/>
            <w:rPr>
              <w:rFonts w:hint="eastAsia"/>
              <w:bCs w:val="0"/>
              <w:color w:val="000000" w:themeColor="text1"/>
              <w:highlight w:val="none"/>
              <w:shd w:val="clear" w:color="auto" w:fill="auto"/>
              <w14:textFill>
                <w14:solidFill>
                  <w14:schemeClr w14:val="tx1"/>
                </w14:solidFill>
              </w14:textFill>
            </w:rPr>
          </w:pP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HYPERLINK \l _Toc18618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lang w:eastAsia="zh-CN"/>
              <w14:textFill>
                <w14:solidFill>
                  <w14:schemeClr w14:val="tx1"/>
                </w14:solidFill>
              </w14:textFill>
            </w:rPr>
            <w:t>一、 部门职责</w:t>
          </w:r>
          <w:r>
            <w:rPr>
              <w:rFonts w:hint="eastAsia"/>
              <w:bCs w:val="0"/>
              <w:color w:val="000000" w:themeColor="text1"/>
              <w:highlight w:val="none"/>
              <w:shd w:val="clear" w:color="auto" w:fill="auto"/>
              <w14:textFill>
                <w14:solidFill>
                  <w14:schemeClr w14:val="tx1"/>
                </w14:solidFill>
              </w14:textFill>
            </w:rPr>
            <w:tab/>
          </w: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PAGEREF _Toc18618 \h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14:textFill>
                <w14:solidFill>
                  <w14:schemeClr w14:val="tx1"/>
                </w14:solidFill>
              </w14:textFill>
            </w:rPr>
            <w:t>1</w:t>
          </w:r>
          <w:r>
            <w:rPr>
              <w:rFonts w:hint="eastAsia"/>
              <w:bCs w:val="0"/>
              <w:color w:val="000000" w:themeColor="text1"/>
              <w:highlight w:val="none"/>
              <w:shd w:val="clear" w:color="auto" w:fill="auto"/>
              <w14:textFill>
                <w14:solidFill>
                  <w14:schemeClr w14:val="tx1"/>
                </w14:solidFill>
              </w14:textFill>
            </w:rPr>
            <w:fldChar w:fldCharType="end"/>
          </w:r>
          <w:r>
            <w:rPr>
              <w:rFonts w:hint="eastAsia"/>
              <w:bCs w:val="0"/>
              <w:color w:val="000000" w:themeColor="text1"/>
              <w:highlight w:val="none"/>
              <w:shd w:val="clear" w:color="auto" w:fill="auto"/>
              <w14:textFill>
                <w14:solidFill>
                  <w14:schemeClr w14:val="tx1"/>
                </w14:solidFill>
              </w14:textFill>
            </w:rPr>
            <w:fldChar w:fldCharType="end"/>
          </w:r>
        </w:p>
        <w:p w14:paraId="65FDEBBF">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val="0"/>
            <w:spacing w:line="360" w:lineRule="auto"/>
            <w:textAlignment w:val="auto"/>
            <w:rPr>
              <w:rFonts w:hint="eastAsia"/>
              <w:bCs w:val="0"/>
              <w:color w:val="000000" w:themeColor="text1"/>
              <w:highlight w:val="none"/>
              <w:shd w:val="clear" w:color="auto" w:fill="auto"/>
              <w14:textFill>
                <w14:solidFill>
                  <w14:schemeClr w14:val="tx1"/>
                </w14:solidFill>
              </w14:textFill>
            </w:rPr>
          </w:pP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HYPERLINK \l _Toc22315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14:textFill>
                <w14:solidFill>
                  <w14:schemeClr w14:val="tx1"/>
                </w14:solidFill>
              </w14:textFill>
            </w:rPr>
            <w:t>二、 机构设置</w:t>
          </w:r>
          <w:r>
            <w:rPr>
              <w:rFonts w:hint="eastAsia"/>
              <w:bCs w:val="0"/>
              <w:color w:val="000000" w:themeColor="text1"/>
              <w:highlight w:val="none"/>
              <w:shd w:val="clear" w:color="auto" w:fill="auto"/>
              <w14:textFill>
                <w14:solidFill>
                  <w14:schemeClr w14:val="tx1"/>
                </w14:solidFill>
              </w14:textFill>
            </w:rPr>
            <w:tab/>
          </w: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PAGEREF _Toc22315 \h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14:textFill>
                <w14:solidFill>
                  <w14:schemeClr w14:val="tx1"/>
                </w14:solidFill>
              </w14:textFill>
            </w:rPr>
            <w:t>2</w:t>
          </w:r>
          <w:r>
            <w:rPr>
              <w:rFonts w:hint="eastAsia"/>
              <w:bCs w:val="0"/>
              <w:color w:val="000000" w:themeColor="text1"/>
              <w:highlight w:val="none"/>
              <w:shd w:val="clear" w:color="auto" w:fill="auto"/>
              <w14:textFill>
                <w14:solidFill>
                  <w14:schemeClr w14:val="tx1"/>
                </w14:solidFill>
              </w14:textFill>
            </w:rPr>
            <w:fldChar w:fldCharType="end"/>
          </w:r>
          <w:r>
            <w:rPr>
              <w:rFonts w:hint="eastAsia"/>
              <w:bCs w:val="0"/>
              <w:color w:val="000000" w:themeColor="text1"/>
              <w:highlight w:val="none"/>
              <w:shd w:val="clear" w:color="auto" w:fill="auto"/>
              <w14:textFill>
                <w14:solidFill>
                  <w14:schemeClr w14:val="tx1"/>
                </w14:solidFill>
              </w14:textFill>
            </w:rPr>
            <w:fldChar w:fldCharType="end"/>
          </w:r>
        </w:p>
        <w:p w14:paraId="6CB35968">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val="0"/>
            <w:spacing w:before="0" w:line="360" w:lineRule="auto"/>
            <w:textAlignment w:val="auto"/>
            <w:rPr>
              <w:color w:val="000000" w:themeColor="text1"/>
              <w:highlight w:val="none"/>
              <w:shd w:val="clear" w:color="auto" w:fill="auto"/>
              <w14:textFill>
                <w14:solidFill>
                  <w14:schemeClr w14:val="tx1"/>
                </w14:solidFill>
              </w14:textFill>
            </w:rPr>
          </w:pPr>
          <w:r>
            <w:rPr>
              <w:rFonts w:ascii="Times New Roman" w:hAnsi="Times New Roman"/>
              <w:color w:val="000000" w:themeColor="text1"/>
              <w:highlight w:val="none"/>
              <w:shd w:val="clear" w:color="auto" w:fill="auto"/>
              <w14:textFill>
                <w14:solidFill>
                  <w14:schemeClr w14:val="tx1"/>
                </w14:solidFill>
              </w14:textFill>
            </w:rPr>
            <w:fldChar w:fldCharType="begin"/>
          </w:r>
          <w:r>
            <w:rPr>
              <w:rFonts w:ascii="Times New Roman" w:hAnsi="Times New Roman"/>
              <w:color w:val="000000" w:themeColor="text1"/>
              <w:highlight w:val="none"/>
              <w:shd w:val="clear" w:color="auto" w:fill="auto"/>
              <w14:textFill>
                <w14:solidFill>
                  <w14:schemeClr w14:val="tx1"/>
                </w14:solidFill>
              </w14:textFill>
            </w:rPr>
            <w:instrText xml:space="preserve"> HYPERLINK \l _Toc26586 </w:instrText>
          </w:r>
          <w:r>
            <w:rPr>
              <w:rFonts w:ascii="Times New Roman" w:hAnsi="Times New Roman"/>
              <w:color w:val="000000" w:themeColor="text1"/>
              <w:highlight w:val="none"/>
              <w:shd w:val="clear" w:color="auto" w:fill="auto"/>
              <w14:textFill>
                <w14:solidFill>
                  <w14:schemeClr w14:val="tx1"/>
                </w14:solidFill>
              </w14:textFill>
            </w:rPr>
            <w:fldChar w:fldCharType="separate"/>
          </w:r>
          <w:r>
            <w:rPr>
              <w:rFonts w:hint="eastAsia" w:ascii="Times New Roman" w:hAnsi="Times New Roman" w:eastAsia="方正小标宋简体" w:cs="方正小标宋简体"/>
              <w:color w:val="000000" w:themeColor="text1"/>
              <w:highlight w:val="none"/>
              <w:shd w:val="clear" w:color="auto" w:fill="auto"/>
              <w14:textFill>
                <w14:solidFill>
                  <w14:schemeClr w14:val="tx1"/>
                </w14:solidFill>
              </w14:textFill>
            </w:rPr>
            <w:t>第二部分</w:t>
          </w:r>
          <w:r>
            <w:rPr>
              <w:rFonts w:hint="eastAsia" w:ascii="Times New Roman" w:hAnsi="Times New Roman" w:eastAsia="方正小标宋简体" w:cs="方正小标宋简体"/>
              <w:color w:val="000000" w:themeColor="text1"/>
              <w:highlight w:val="none"/>
              <w:shd w:val="clear" w:color="auto" w:fill="auto"/>
              <w:lang w:val="en-US" w:eastAsia="zh-CN"/>
              <w14:textFill>
                <w14:solidFill>
                  <w14:schemeClr w14:val="tx1"/>
                </w14:solidFill>
              </w14:textFill>
            </w:rPr>
            <w:t xml:space="preserve"> </w:t>
          </w:r>
          <w:r>
            <w:rPr>
              <w:rFonts w:hint="eastAsia" w:ascii="Times New Roman" w:hAnsi="Times New Roman" w:eastAsia="方正小标宋简体" w:cs="方正小标宋简体"/>
              <w:color w:val="000000" w:themeColor="text1"/>
              <w:highlight w:val="none"/>
              <w:shd w:val="clear" w:color="auto" w:fill="auto"/>
              <w14:textFill>
                <w14:solidFill>
                  <w14:schemeClr w14:val="tx1"/>
                </w14:solidFill>
              </w14:textFill>
            </w:rPr>
            <w:t xml:space="preserve"> </w:t>
          </w:r>
          <w:r>
            <w:rPr>
              <w:rFonts w:hint="eastAsia" w:ascii="Times New Roman" w:hAnsi="Times New Roman" w:eastAsia="方正小标宋简体" w:cs="方正小标宋简体"/>
              <w:color w:val="000000" w:themeColor="text1"/>
              <w:highlight w:val="none"/>
              <w:shd w:val="clear" w:color="auto" w:fill="auto"/>
              <w:lang w:val="en-US" w:eastAsia="zh-CN"/>
              <w14:textFill>
                <w14:solidFill>
                  <w14:schemeClr w14:val="tx1"/>
                </w14:solidFill>
              </w14:textFill>
            </w:rPr>
            <w:t>2024年度</w:t>
          </w:r>
          <w:r>
            <w:rPr>
              <w:rFonts w:hint="eastAsia" w:ascii="Times New Roman" w:hAnsi="Times New Roman" w:eastAsia="方正小标宋简体" w:cs="方正小标宋简体"/>
              <w:color w:val="000000" w:themeColor="text1"/>
              <w:highlight w:val="none"/>
              <w:shd w:val="clear" w:color="auto" w:fill="auto"/>
              <w14:textFill>
                <w14:solidFill>
                  <w14:schemeClr w14:val="tx1"/>
                </w14:solidFill>
              </w14:textFill>
            </w:rPr>
            <w:t>部门决算情况说明</w:t>
          </w:r>
          <w:r>
            <w:rPr>
              <w:rFonts w:hint="eastAsia" w:ascii="Times New Roman" w:hAnsi="Times New Roman" w:eastAsia="方正小标宋简体" w:cs="方正小标宋简体"/>
              <w:bCs w:val="0"/>
              <w:color w:val="000000" w:themeColor="text1"/>
              <w:highlight w:val="none"/>
              <w:shd w:val="clear" w:color="auto" w:fill="auto"/>
              <w14:textFill>
                <w14:solidFill>
                  <w14:schemeClr w14:val="tx1"/>
                </w14:solidFill>
              </w14:textFill>
            </w:rPr>
            <w:tab/>
          </w:r>
          <w:r>
            <w:rPr>
              <w:color w:val="000000" w:themeColor="text1"/>
              <w:highlight w:val="none"/>
              <w:shd w:val="clear" w:color="auto" w:fill="auto"/>
              <w14:textFill>
                <w14:solidFill>
                  <w14:schemeClr w14:val="tx1"/>
                </w14:solidFill>
              </w14:textFill>
            </w:rPr>
            <w:fldChar w:fldCharType="begin"/>
          </w:r>
          <w:r>
            <w:rPr>
              <w:color w:val="000000" w:themeColor="text1"/>
              <w:highlight w:val="none"/>
              <w:shd w:val="clear" w:color="auto" w:fill="auto"/>
              <w14:textFill>
                <w14:solidFill>
                  <w14:schemeClr w14:val="tx1"/>
                </w14:solidFill>
              </w14:textFill>
            </w:rPr>
            <w:instrText xml:space="preserve"> PAGEREF _Toc26586 \h </w:instrText>
          </w:r>
          <w:r>
            <w:rPr>
              <w:color w:val="000000" w:themeColor="text1"/>
              <w:highlight w:val="none"/>
              <w:shd w:val="clear" w:color="auto" w:fill="auto"/>
              <w14:textFill>
                <w14:solidFill>
                  <w14:schemeClr w14:val="tx1"/>
                </w14:solidFill>
              </w14:textFill>
            </w:rPr>
            <w:fldChar w:fldCharType="separate"/>
          </w:r>
          <w:r>
            <w:rPr>
              <w:color w:val="000000" w:themeColor="text1"/>
              <w:highlight w:val="none"/>
              <w:shd w:val="clear" w:color="auto" w:fill="auto"/>
              <w14:textFill>
                <w14:solidFill>
                  <w14:schemeClr w14:val="tx1"/>
                </w14:solidFill>
              </w14:textFill>
            </w:rPr>
            <w:t>3</w:t>
          </w:r>
          <w:r>
            <w:rPr>
              <w:color w:val="000000" w:themeColor="text1"/>
              <w:highlight w:val="none"/>
              <w:shd w:val="clear" w:color="auto" w:fill="auto"/>
              <w14:textFill>
                <w14:solidFill>
                  <w14:schemeClr w14:val="tx1"/>
                </w14:solidFill>
              </w14:textFill>
            </w:rPr>
            <w:fldChar w:fldCharType="end"/>
          </w:r>
          <w:r>
            <w:rPr>
              <w:rFonts w:ascii="Times New Roman" w:hAnsi="Times New Roman"/>
              <w:color w:val="000000" w:themeColor="text1"/>
              <w:highlight w:val="none"/>
              <w:shd w:val="clear" w:color="auto" w:fill="auto"/>
              <w14:textFill>
                <w14:solidFill>
                  <w14:schemeClr w14:val="tx1"/>
                </w14:solidFill>
              </w14:textFill>
            </w:rPr>
            <w:fldChar w:fldCharType="end"/>
          </w:r>
        </w:p>
        <w:p w14:paraId="145719DF">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val="0"/>
            <w:spacing w:line="360" w:lineRule="auto"/>
            <w:textAlignment w:val="auto"/>
            <w:rPr>
              <w:rFonts w:hint="eastAsia"/>
              <w:bCs w:val="0"/>
              <w:color w:val="000000" w:themeColor="text1"/>
              <w:highlight w:val="none"/>
              <w:shd w:val="clear" w:color="auto" w:fill="auto"/>
              <w14:textFill>
                <w14:solidFill>
                  <w14:schemeClr w14:val="tx1"/>
                </w14:solidFill>
              </w14:textFill>
            </w:rPr>
          </w:pP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HYPERLINK \l _Toc25210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lang w:eastAsia="zh-CN"/>
              <w14:textFill>
                <w14:solidFill>
                  <w14:schemeClr w14:val="tx1"/>
                </w14:solidFill>
              </w14:textFill>
            </w:rPr>
            <w:t>一、</w:t>
          </w:r>
          <w:r>
            <w:rPr>
              <w:rFonts w:hint="eastAsia"/>
              <w:bCs w:val="0"/>
              <w:color w:val="000000" w:themeColor="text1"/>
              <w:highlight w:val="none"/>
              <w:shd w:val="clear" w:color="auto" w:fill="auto"/>
              <w14:textFill>
                <w14:solidFill>
                  <w14:schemeClr w14:val="tx1"/>
                </w14:solidFill>
              </w14:textFill>
            </w:rPr>
            <w:t>收入支出决算总体情况说明</w:t>
          </w:r>
          <w:r>
            <w:rPr>
              <w:rFonts w:hint="eastAsia"/>
              <w:bCs w:val="0"/>
              <w:color w:val="000000" w:themeColor="text1"/>
              <w:highlight w:val="none"/>
              <w:shd w:val="clear" w:color="auto" w:fill="auto"/>
              <w14:textFill>
                <w14:solidFill>
                  <w14:schemeClr w14:val="tx1"/>
                </w14:solidFill>
              </w14:textFill>
            </w:rPr>
            <w:tab/>
          </w: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PAGEREF _Toc25210 \h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14:textFill>
                <w14:solidFill>
                  <w14:schemeClr w14:val="tx1"/>
                </w14:solidFill>
              </w14:textFill>
            </w:rPr>
            <w:t>3</w:t>
          </w:r>
          <w:r>
            <w:rPr>
              <w:rFonts w:hint="eastAsia"/>
              <w:bCs w:val="0"/>
              <w:color w:val="000000" w:themeColor="text1"/>
              <w:highlight w:val="none"/>
              <w:shd w:val="clear" w:color="auto" w:fill="auto"/>
              <w14:textFill>
                <w14:solidFill>
                  <w14:schemeClr w14:val="tx1"/>
                </w14:solidFill>
              </w14:textFill>
            </w:rPr>
            <w:fldChar w:fldCharType="end"/>
          </w:r>
          <w:r>
            <w:rPr>
              <w:rFonts w:hint="eastAsia"/>
              <w:bCs w:val="0"/>
              <w:color w:val="000000" w:themeColor="text1"/>
              <w:highlight w:val="none"/>
              <w:shd w:val="clear" w:color="auto" w:fill="auto"/>
              <w14:textFill>
                <w14:solidFill>
                  <w14:schemeClr w14:val="tx1"/>
                </w14:solidFill>
              </w14:textFill>
            </w:rPr>
            <w:fldChar w:fldCharType="end"/>
          </w:r>
        </w:p>
        <w:p w14:paraId="2B9086D2">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val="0"/>
            <w:spacing w:line="360" w:lineRule="auto"/>
            <w:textAlignment w:val="auto"/>
            <w:rPr>
              <w:rFonts w:hint="eastAsia"/>
              <w:bCs w:val="0"/>
              <w:color w:val="000000" w:themeColor="text1"/>
              <w:highlight w:val="none"/>
              <w:shd w:val="clear" w:color="auto" w:fill="auto"/>
              <w14:textFill>
                <w14:solidFill>
                  <w14:schemeClr w14:val="tx1"/>
                </w14:solidFill>
              </w14:textFill>
            </w:rPr>
          </w:pP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HYPERLINK \l _Toc12536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lang w:eastAsia="zh-CN"/>
              <w14:textFill>
                <w14:solidFill>
                  <w14:schemeClr w14:val="tx1"/>
                </w14:solidFill>
              </w14:textFill>
            </w:rPr>
            <w:t>二、收入决算情况说明</w:t>
          </w:r>
          <w:r>
            <w:rPr>
              <w:rFonts w:hint="eastAsia"/>
              <w:bCs w:val="0"/>
              <w:color w:val="000000" w:themeColor="text1"/>
              <w:highlight w:val="none"/>
              <w:shd w:val="clear" w:color="auto" w:fill="auto"/>
              <w14:textFill>
                <w14:solidFill>
                  <w14:schemeClr w14:val="tx1"/>
                </w14:solidFill>
              </w14:textFill>
            </w:rPr>
            <w:tab/>
          </w: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PAGEREF _Toc12536 \h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14:textFill>
                <w14:solidFill>
                  <w14:schemeClr w14:val="tx1"/>
                </w14:solidFill>
              </w14:textFill>
            </w:rPr>
            <w:t>3</w:t>
          </w:r>
          <w:r>
            <w:rPr>
              <w:rFonts w:hint="eastAsia"/>
              <w:bCs w:val="0"/>
              <w:color w:val="000000" w:themeColor="text1"/>
              <w:highlight w:val="none"/>
              <w:shd w:val="clear" w:color="auto" w:fill="auto"/>
              <w14:textFill>
                <w14:solidFill>
                  <w14:schemeClr w14:val="tx1"/>
                </w14:solidFill>
              </w14:textFill>
            </w:rPr>
            <w:fldChar w:fldCharType="end"/>
          </w:r>
          <w:r>
            <w:rPr>
              <w:rFonts w:hint="eastAsia"/>
              <w:bCs w:val="0"/>
              <w:color w:val="000000" w:themeColor="text1"/>
              <w:highlight w:val="none"/>
              <w:shd w:val="clear" w:color="auto" w:fill="auto"/>
              <w14:textFill>
                <w14:solidFill>
                  <w14:schemeClr w14:val="tx1"/>
                </w14:solidFill>
              </w14:textFill>
            </w:rPr>
            <w:fldChar w:fldCharType="end"/>
          </w:r>
        </w:p>
        <w:p w14:paraId="282FE10A">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val="0"/>
            <w:spacing w:line="360" w:lineRule="auto"/>
            <w:textAlignment w:val="auto"/>
            <w:rPr>
              <w:rFonts w:hint="eastAsia"/>
              <w:bCs w:val="0"/>
              <w:color w:val="000000" w:themeColor="text1"/>
              <w:highlight w:val="none"/>
              <w:shd w:val="clear" w:color="auto" w:fill="auto"/>
              <w14:textFill>
                <w14:solidFill>
                  <w14:schemeClr w14:val="tx1"/>
                </w14:solidFill>
              </w14:textFill>
            </w:rPr>
          </w:pP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HYPERLINK \l _Toc13855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lang w:eastAsia="zh-CN"/>
              <w14:textFill>
                <w14:solidFill>
                  <w14:schemeClr w14:val="tx1"/>
                </w14:solidFill>
              </w14:textFill>
            </w:rPr>
            <w:t>三、</w:t>
          </w:r>
          <w:r>
            <w:rPr>
              <w:rFonts w:hint="eastAsia"/>
              <w:bCs w:val="0"/>
              <w:color w:val="000000" w:themeColor="text1"/>
              <w:highlight w:val="none"/>
              <w:shd w:val="clear" w:color="auto" w:fill="auto"/>
              <w14:textFill>
                <w14:solidFill>
                  <w14:schemeClr w14:val="tx1"/>
                </w14:solidFill>
              </w14:textFill>
            </w:rPr>
            <w:t>支出决算情况说明</w:t>
          </w:r>
          <w:r>
            <w:rPr>
              <w:rFonts w:hint="eastAsia"/>
              <w:bCs w:val="0"/>
              <w:color w:val="000000" w:themeColor="text1"/>
              <w:highlight w:val="none"/>
              <w:shd w:val="clear" w:color="auto" w:fill="auto"/>
              <w14:textFill>
                <w14:solidFill>
                  <w14:schemeClr w14:val="tx1"/>
                </w14:solidFill>
              </w14:textFill>
            </w:rPr>
            <w:tab/>
          </w: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PAGEREF _Toc13855 \h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14:textFill>
                <w14:solidFill>
                  <w14:schemeClr w14:val="tx1"/>
                </w14:solidFill>
              </w14:textFill>
            </w:rPr>
            <w:t>4</w:t>
          </w:r>
          <w:r>
            <w:rPr>
              <w:rFonts w:hint="eastAsia"/>
              <w:bCs w:val="0"/>
              <w:color w:val="000000" w:themeColor="text1"/>
              <w:highlight w:val="none"/>
              <w:shd w:val="clear" w:color="auto" w:fill="auto"/>
              <w14:textFill>
                <w14:solidFill>
                  <w14:schemeClr w14:val="tx1"/>
                </w14:solidFill>
              </w14:textFill>
            </w:rPr>
            <w:fldChar w:fldCharType="end"/>
          </w:r>
          <w:r>
            <w:rPr>
              <w:rFonts w:hint="eastAsia"/>
              <w:bCs w:val="0"/>
              <w:color w:val="000000" w:themeColor="text1"/>
              <w:highlight w:val="none"/>
              <w:shd w:val="clear" w:color="auto" w:fill="auto"/>
              <w14:textFill>
                <w14:solidFill>
                  <w14:schemeClr w14:val="tx1"/>
                </w14:solidFill>
              </w14:textFill>
            </w:rPr>
            <w:fldChar w:fldCharType="end"/>
          </w:r>
        </w:p>
        <w:p w14:paraId="7EA9D5DC">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val="0"/>
            <w:spacing w:line="360" w:lineRule="auto"/>
            <w:textAlignment w:val="auto"/>
            <w:rPr>
              <w:rFonts w:hint="eastAsia"/>
              <w:bCs w:val="0"/>
              <w:color w:val="000000" w:themeColor="text1"/>
              <w:highlight w:val="none"/>
              <w:shd w:val="clear" w:color="auto" w:fill="auto"/>
              <w14:textFill>
                <w14:solidFill>
                  <w14:schemeClr w14:val="tx1"/>
                </w14:solidFill>
              </w14:textFill>
            </w:rPr>
          </w:pP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HYPERLINK \l _Toc30057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14:textFill>
                <w14:solidFill>
                  <w14:schemeClr w14:val="tx1"/>
                </w14:solidFill>
              </w14:textFill>
            </w:rPr>
            <w:t>四、财政拨款收入支出决算总体情况说明</w:t>
          </w:r>
          <w:r>
            <w:rPr>
              <w:rFonts w:hint="eastAsia"/>
              <w:bCs w:val="0"/>
              <w:color w:val="000000" w:themeColor="text1"/>
              <w:highlight w:val="none"/>
              <w:shd w:val="clear" w:color="auto" w:fill="auto"/>
              <w14:textFill>
                <w14:solidFill>
                  <w14:schemeClr w14:val="tx1"/>
                </w14:solidFill>
              </w14:textFill>
            </w:rPr>
            <w:tab/>
          </w: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PAGEREF _Toc30057 \h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14:textFill>
                <w14:solidFill>
                  <w14:schemeClr w14:val="tx1"/>
                </w14:solidFill>
              </w14:textFill>
            </w:rPr>
            <w:t>4</w:t>
          </w:r>
          <w:r>
            <w:rPr>
              <w:rFonts w:hint="eastAsia"/>
              <w:bCs w:val="0"/>
              <w:color w:val="000000" w:themeColor="text1"/>
              <w:highlight w:val="none"/>
              <w:shd w:val="clear" w:color="auto" w:fill="auto"/>
              <w14:textFill>
                <w14:solidFill>
                  <w14:schemeClr w14:val="tx1"/>
                </w14:solidFill>
              </w14:textFill>
            </w:rPr>
            <w:fldChar w:fldCharType="end"/>
          </w:r>
          <w:r>
            <w:rPr>
              <w:rFonts w:hint="eastAsia"/>
              <w:bCs w:val="0"/>
              <w:color w:val="000000" w:themeColor="text1"/>
              <w:highlight w:val="none"/>
              <w:shd w:val="clear" w:color="auto" w:fill="auto"/>
              <w14:textFill>
                <w14:solidFill>
                  <w14:schemeClr w14:val="tx1"/>
                </w14:solidFill>
              </w14:textFill>
            </w:rPr>
            <w:fldChar w:fldCharType="end"/>
          </w:r>
        </w:p>
        <w:p w14:paraId="16EF334E">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val="0"/>
            <w:spacing w:line="360" w:lineRule="auto"/>
            <w:textAlignment w:val="auto"/>
            <w:rPr>
              <w:rFonts w:hint="eastAsia"/>
              <w:bCs w:val="0"/>
              <w:color w:val="000000" w:themeColor="text1"/>
              <w:highlight w:val="none"/>
              <w:shd w:val="clear" w:color="auto" w:fill="auto"/>
              <w14:textFill>
                <w14:solidFill>
                  <w14:schemeClr w14:val="tx1"/>
                </w14:solidFill>
              </w14:textFill>
            </w:rPr>
          </w:pP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HYPERLINK \l _Toc24059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14:textFill>
                <w14:solidFill>
                  <w14:schemeClr w14:val="tx1"/>
                </w14:solidFill>
              </w14:textFill>
            </w:rPr>
            <w:t>五、一般公共预算财政拨款支出决算情况说明</w:t>
          </w:r>
          <w:r>
            <w:rPr>
              <w:rFonts w:hint="eastAsia"/>
              <w:bCs w:val="0"/>
              <w:color w:val="000000" w:themeColor="text1"/>
              <w:highlight w:val="none"/>
              <w:shd w:val="clear" w:color="auto" w:fill="auto"/>
              <w14:textFill>
                <w14:solidFill>
                  <w14:schemeClr w14:val="tx1"/>
                </w14:solidFill>
              </w14:textFill>
            </w:rPr>
            <w:tab/>
          </w: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PAGEREF _Toc24059 \h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14:textFill>
                <w14:solidFill>
                  <w14:schemeClr w14:val="tx1"/>
                </w14:solidFill>
              </w14:textFill>
            </w:rPr>
            <w:t>5</w:t>
          </w:r>
          <w:r>
            <w:rPr>
              <w:rFonts w:hint="eastAsia"/>
              <w:bCs w:val="0"/>
              <w:color w:val="000000" w:themeColor="text1"/>
              <w:highlight w:val="none"/>
              <w:shd w:val="clear" w:color="auto" w:fill="auto"/>
              <w14:textFill>
                <w14:solidFill>
                  <w14:schemeClr w14:val="tx1"/>
                </w14:solidFill>
              </w14:textFill>
            </w:rPr>
            <w:fldChar w:fldCharType="end"/>
          </w:r>
          <w:r>
            <w:rPr>
              <w:rFonts w:hint="eastAsia"/>
              <w:bCs w:val="0"/>
              <w:color w:val="000000" w:themeColor="text1"/>
              <w:highlight w:val="none"/>
              <w:shd w:val="clear" w:color="auto" w:fill="auto"/>
              <w14:textFill>
                <w14:solidFill>
                  <w14:schemeClr w14:val="tx1"/>
                </w14:solidFill>
              </w14:textFill>
            </w:rPr>
            <w:fldChar w:fldCharType="end"/>
          </w:r>
        </w:p>
        <w:p w14:paraId="0821222F">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val="0"/>
            <w:spacing w:line="360" w:lineRule="auto"/>
            <w:textAlignment w:val="auto"/>
            <w:rPr>
              <w:rFonts w:hint="eastAsia"/>
              <w:bCs w:val="0"/>
              <w:color w:val="000000" w:themeColor="text1"/>
              <w:highlight w:val="none"/>
              <w:shd w:val="clear" w:color="auto" w:fill="auto"/>
              <w14:textFill>
                <w14:solidFill>
                  <w14:schemeClr w14:val="tx1"/>
                </w14:solidFill>
              </w14:textFill>
            </w:rPr>
          </w:pP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HYPERLINK \l _Toc17413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14:textFill>
                <w14:solidFill>
                  <w14:schemeClr w14:val="tx1"/>
                </w14:solidFill>
              </w14:textFill>
            </w:rPr>
            <w:t>六、一般公共预算财政拨款基本支出决算情况说明</w:t>
          </w:r>
          <w:r>
            <w:rPr>
              <w:rFonts w:hint="eastAsia"/>
              <w:bCs w:val="0"/>
              <w:color w:val="000000" w:themeColor="text1"/>
              <w:highlight w:val="none"/>
              <w:shd w:val="clear" w:color="auto" w:fill="auto"/>
              <w14:textFill>
                <w14:solidFill>
                  <w14:schemeClr w14:val="tx1"/>
                </w14:solidFill>
              </w14:textFill>
            </w:rPr>
            <w:tab/>
          </w: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PAGEREF _Toc17413 \h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14:textFill>
                <w14:solidFill>
                  <w14:schemeClr w14:val="tx1"/>
                </w14:solidFill>
              </w14:textFill>
            </w:rPr>
            <w:t>8</w:t>
          </w:r>
          <w:r>
            <w:rPr>
              <w:rFonts w:hint="eastAsia"/>
              <w:bCs w:val="0"/>
              <w:color w:val="000000" w:themeColor="text1"/>
              <w:highlight w:val="none"/>
              <w:shd w:val="clear" w:color="auto" w:fill="auto"/>
              <w14:textFill>
                <w14:solidFill>
                  <w14:schemeClr w14:val="tx1"/>
                </w14:solidFill>
              </w14:textFill>
            </w:rPr>
            <w:fldChar w:fldCharType="end"/>
          </w:r>
          <w:r>
            <w:rPr>
              <w:rFonts w:hint="eastAsia"/>
              <w:bCs w:val="0"/>
              <w:color w:val="000000" w:themeColor="text1"/>
              <w:highlight w:val="none"/>
              <w:shd w:val="clear" w:color="auto" w:fill="auto"/>
              <w14:textFill>
                <w14:solidFill>
                  <w14:schemeClr w14:val="tx1"/>
                </w14:solidFill>
              </w14:textFill>
            </w:rPr>
            <w:fldChar w:fldCharType="end"/>
          </w:r>
        </w:p>
        <w:p w14:paraId="4DFE6EB7">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val="0"/>
            <w:spacing w:line="360" w:lineRule="auto"/>
            <w:textAlignment w:val="auto"/>
            <w:rPr>
              <w:rFonts w:hint="eastAsia"/>
              <w:bCs w:val="0"/>
              <w:color w:val="000000" w:themeColor="text1"/>
              <w:highlight w:val="none"/>
              <w:shd w:val="clear" w:color="auto" w:fill="auto"/>
              <w14:textFill>
                <w14:solidFill>
                  <w14:schemeClr w14:val="tx1"/>
                </w14:solidFill>
              </w14:textFill>
            </w:rPr>
          </w:pP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HYPERLINK \l _Toc30358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14:textFill>
                <w14:solidFill>
                  <w14:schemeClr w14:val="tx1"/>
                </w14:solidFill>
              </w14:textFill>
            </w:rPr>
            <w:t>七、财政拨款“三公”经费支出决算情况说明</w:t>
          </w:r>
          <w:r>
            <w:rPr>
              <w:rFonts w:hint="eastAsia"/>
              <w:bCs w:val="0"/>
              <w:color w:val="000000" w:themeColor="text1"/>
              <w:highlight w:val="none"/>
              <w:shd w:val="clear" w:color="auto" w:fill="auto"/>
              <w14:textFill>
                <w14:solidFill>
                  <w14:schemeClr w14:val="tx1"/>
                </w14:solidFill>
              </w14:textFill>
            </w:rPr>
            <w:tab/>
          </w: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PAGEREF _Toc30358 \h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14:textFill>
                <w14:solidFill>
                  <w14:schemeClr w14:val="tx1"/>
                </w14:solidFill>
              </w14:textFill>
            </w:rPr>
            <w:t>8</w:t>
          </w:r>
          <w:r>
            <w:rPr>
              <w:rFonts w:hint="eastAsia"/>
              <w:bCs w:val="0"/>
              <w:color w:val="000000" w:themeColor="text1"/>
              <w:highlight w:val="none"/>
              <w:shd w:val="clear" w:color="auto" w:fill="auto"/>
              <w14:textFill>
                <w14:solidFill>
                  <w14:schemeClr w14:val="tx1"/>
                </w14:solidFill>
              </w14:textFill>
            </w:rPr>
            <w:fldChar w:fldCharType="end"/>
          </w:r>
          <w:r>
            <w:rPr>
              <w:rFonts w:hint="eastAsia"/>
              <w:bCs w:val="0"/>
              <w:color w:val="000000" w:themeColor="text1"/>
              <w:highlight w:val="none"/>
              <w:shd w:val="clear" w:color="auto" w:fill="auto"/>
              <w14:textFill>
                <w14:solidFill>
                  <w14:schemeClr w14:val="tx1"/>
                </w14:solidFill>
              </w14:textFill>
            </w:rPr>
            <w:fldChar w:fldCharType="end"/>
          </w:r>
        </w:p>
        <w:p w14:paraId="57B38B30">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val="0"/>
            <w:spacing w:line="360" w:lineRule="auto"/>
            <w:textAlignment w:val="auto"/>
            <w:rPr>
              <w:rFonts w:hint="eastAsia"/>
              <w:bCs w:val="0"/>
              <w:color w:val="000000" w:themeColor="text1"/>
              <w:highlight w:val="none"/>
              <w:shd w:val="clear" w:color="auto" w:fill="auto"/>
              <w14:textFill>
                <w14:solidFill>
                  <w14:schemeClr w14:val="tx1"/>
                </w14:solidFill>
              </w14:textFill>
            </w:rPr>
          </w:pP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HYPERLINK \l _Toc9476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14:textFill>
                <w14:solidFill>
                  <w14:schemeClr w14:val="tx1"/>
                </w14:solidFill>
              </w14:textFill>
            </w:rPr>
            <w:t>八、政府性基金预算支出决算情况说明</w:t>
          </w:r>
          <w:r>
            <w:rPr>
              <w:rFonts w:hint="eastAsia"/>
              <w:bCs w:val="0"/>
              <w:color w:val="000000" w:themeColor="text1"/>
              <w:highlight w:val="none"/>
              <w:shd w:val="clear" w:color="auto" w:fill="auto"/>
              <w14:textFill>
                <w14:solidFill>
                  <w14:schemeClr w14:val="tx1"/>
                </w14:solidFill>
              </w14:textFill>
            </w:rPr>
            <w:tab/>
          </w: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PAGEREF _Toc9476 \h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14:textFill>
                <w14:solidFill>
                  <w14:schemeClr w14:val="tx1"/>
                </w14:solidFill>
              </w14:textFill>
            </w:rPr>
            <w:t>10</w:t>
          </w:r>
          <w:r>
            <w:rPr>
              <w:rFonts w:hint="eastAsia"/>
              <w:bCs w:val="0"/>
              <w:color w:val="000000" w:themeColor="text1"/>
              <w:highlight w:val="none"/>
              <w:shd w:val="clear" w:color="auto" w:fill="auto"/>
              <w14:textFill>
                <w14:solidFill>
                  <w14:schemeClr w14:val="tx1"/>
                </w14:solidFill>
              </w14:textFill>
            </w:rPr>
            <w:fldChar w:fldCharType="end"/>
          </w:r>
          <w:r>
            <w:rPr>
              <w:rFonts w:hint="eastAsia"/>
              <w:bCs w:val="0"/>
              <w:color w:val="000000" w:themeColor="text1"/>
              <w:highlight w:val="none"/>
              <w:shd w:val="clear" w:color="auto" w:fill="auto"/>
              <w14:textFill>
                <w14:solidFill>
                  <w14:schemeClr w14:val="tx1"/>
                </w14:solidFill>
              </w14:textFill>
            </w:rPr>
            <w:fldChar w:fldCharType="end"/>
          </w:r>
        </w:p>
        <w:p w14:paraId="4BF8ED66">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val="0"/>
            <w:spacing w:line="360" w:lineRule="auto"/>
            <w:textAlignment w:val="auto"/>
            <w:rPr>
              <w:rFonts w:hint="eastAsia"/>
              <w:bCs w:val="0"/>
              <w:color w:val="000000" w:themeColor="text1"/>
              <w:highlight w:val="none"/>
              <w:shd w:val="clear" w:color="auto" w:fill="auto"/>
              <w14:textFill>
                <w14:solidFill>
                  <w14:schemeClr w14:val="tx1"/>
                </w14:solidFill>
              </w14:textFill>
            </w:rPr>
          </w:pP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HYPERLINK \l _Toc10949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lang w:eastAsia="zh-CN"/>
              <w14:textFill>
                <w14:solidFill>
                  <w14:schemeClr w14:val="tx1"/>
                </w14:solidFill>
              </w14:textFill>
            </w:rPr>
            <w:t>九、</w:t>
          </w:r>
          <w:r>
            <w:rPr>
              <w:rFonts w:hint="eastAsia"/>
              <w:bCs w:val="0"/>
              <w:color w:val="000000" w:themeColor="text1"/>
              <w:highlight w:val="none"/>
              <w:shd w:val="clear" w:color="auto" w:fill="auto"/>
              <w14:textFill>
                <w14:solidFill>
                  <w14:schemeClr w14:val="tx1"/>
                </w14:solidFill>
              </w14:textFill>
            </w:rPr>
            <w:t>国有资本经营预算支出决算情况说明</w:t>
          </w:r>
          <w:r>
            <w:rPr>
              <w:rFonts w:hint="eastAsia"/>
              <w:bCs w:val="0"/>
              <w:color w:val="000000" w:themeColor="text1"/>
              <w:highlight w:val="none"/>
              <w:shd w:val="clear" w:color="auto" w:fill="auto"/>
              <w14:textFill>
                <w14:solidFill>
                  <w14:schemeClr w14:val="tx1"/>
                </w14:solidFill>
              </w14:textFill>
            </w:rPr>
            <w:tab/>
          </w: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PAGEREF _Toc10949 \h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14:textFill>
                <w14:solidFill>
                  <w14:schemeClr w14:val="tx1"/>
                </w14:solidFill>
              </w14:textFill>
            </w:rPr>
            <w:t>10</w:t>
          </w:r>
          <w:r>
            <w:rPr>
              <w:rFonts w:hint="eastAsia"/>
              <w:bCs w:val="0"/>
              <w:color w:val="000000" w:themeColor="text1"/>
              <w:highlight w:val="none"/>
              <w:shd w:val="clear" w:color="auto" w:fill="auto"/>
              <w14:textFill>
                <w14:solidFill>
                  <w14:schemeClr w14:val="tx1"/>
                </w14:solidFill>
              </w14:textFill>
            </w:rPr>
            <w:fldChar w:fldCharType="end"/>
          </w:r>
          <w:r>
            <w:rPr>
              <w:rFonts w:hint="eastAsia"/>
              <w:bCs w:val="0"/>
              <w:color w:val="000000" w:themeColor="text1"/>
              <w:highlight w:val="none"/>
              <w:shd w:val="clear" w:color="auto" w:fill="auto"/>
              <w14:textFill>
                <w14:solidFill>
                  <w14:schemeClr w14:val="tx1"/>
                </w14:solidFill>
              </w14:textFill>
            </w:rPr>
            <w:fldChar w:fldCharType="end"/>
          </w:r>
        </w:p>
        <w:p w14:paraId="356886A1">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val="0"/>
            <w:spacing w:line="360" w:lineRule="auto"/>
            <w:textAlignment w:val="auto"/>
            <w:rPr>
              <w:color w:val="000000" w:themeColor="text1"/>
              <w:highlight w:val="none"/>
              <w:shd w:val="clear" w:color="auto" w:fill="auto"/>
              <w14:textFill>
                <w14:solidFill>
                  <w14:schemeClr w14:val="tx1"/>
                </w14:solidFill>
              </w14:textFill>
            </w:rPr>
          </w:pP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HYPERLINK \l _Toc31765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lang w:eastAsia="zh-CN"/>
              <w14:textFill>
                <w14:solidFill>
                  <w14:schemeClr w14:val="tx1"/>
                </w14:solidFill>
              </w14:textFill>
            </w:rPr>
            <w:t>十、</w:t>
          </w:r>
          <w:r>
            <w:rPr>
              <w:rFonts w:hint="eastAsia"/>
              <w:bCs w:val="0"/>
              <w:color w:val="000000" w:themeColor="text1"/>
              <w:highlight w:val="none"/>
              <w:shd w:val="clear" w:color="auto" w:fill="auto"/>
              <w14:textFill>
                <w14:solidFill>
                  <w14:schemeClr w14:val="tx1"/>
                </w14:solidFill>
              </w14:textFill>
            </w:rPr>
            <w:t>其他重要事项的情况说明</w:t>
          </w:r>
          <w:r>
            <w:rPr>
              <w:rFonts w:hint="eastAsia"/>
              <w:bCs w:val="0"/>
              <w:color w:val="000000" w:themeColor="text1"/>
              <w:highlight w:val="none"/>
              <w:shd w:val="clear" w:color="auto" w:fill="auto"/>
              <w14:textFill>
                <w14:solidFill>
                  <w14:schemeClr w14:val="tx1"/>
                </w14:solidFill>
              </w14:textFill>
            </w:rPr>
            <w:tab/>
          </w:r>
          <w:r>
            <w:rPr>
              <w:rFonts w:hint="eastAsia"/>
              <w:bCs w:val="0"/>
              <w:color w:val="000000" w:themeColor="text1"/>
              <w:highlight w:val="none"/>
              <w:shd w:val="clear" w:color="auto" w:fill="auto"/>
              <w14:textFill>
                <w14:solidFill>
                  <w14:schemeClr w14:val="tx1"/>
                </w14:solidFill>
              </w14:textFill>
            </w:rPr>
            <w:fldChar w:fldCharType="begin"/>
          </w:r>
          <w:r>
            <w:rPr>
              <w:rFonts w:hint="eastAsia"/>
              <w:bCs w:val="0"/>
              <w:color w:val="000000" w:themeColor="text1"/>
              <w:highlight w:val="none"/>
              <w:shd w:val="clear" w:color="auto" w:fill="auto"/>
              <w14:textFill>
                <w14:solidFill>
                  <w14:schemeClr w14:val="tx1"/>
                </w14:solidFill>
              </w14:textFill>
            </w:rPr>
            <w:instrText xml:space="preserve"> PAGEREF _Toc31765 \h </w:instrText>
          </w:r>
          <w:r>
            <w:rPr>
              <w:rFonts w:hint="eastAsia"/>
              <w:bCs w:val="0"/>
              <w:color w:val="000000" w:themeColor="text1"/>
              <w:highlight w:val="none"/>
              <w:shd w:val="clear" w:color="auto" w:fill="auto"/>
              <w14:textFill>
                <w14:solidFill>
                  <w14:schemeClr w14:val="tx1"/>
                </w14:solidFill>
              </w14:textFill>
            </w:rPr>
            <w:fldChar w:fldCharType="separate"/>
          </w:r>
          <w:r>
            <w:rPr>
              <w:rFonts w:hint="eastAsia"/>
              <w:bCs w:val="0"/>
              <w:color w:val="000000" w:themeColor="text1"/>
              <w:highlight w:val="none"/>
              <w:shd w:val="clear" w:color="auto" w:fill="auto"/>
              <w14:textFill>
                <w14:solidFill>
                  <w14:schemeClr w14:val="tx1"/>
                </w14:solidFill>
              </w14:textFill>
            </w:rPr>
            <w:t>10</w:t>
          </w:r>
          <w:r>
            <w:rPr>
              <w:rFonts w:hint="eastAsia"/>
              <w:bCs w:val="0"/>
              <w:color w:val="000000" w:themeColor="text1"/>
              <w:highlight w:val="none"/>
              <w:shd w:val="clear" w:color="auto" w:fill="auto"/>
              <w14:textFill>
                <w14:solidFill>
                  <w14:schemeClr w14:val="tx1"/>
                </w14:solidFill>
              </w14:textFill>
            </w:rPr>
            <w:fldChar w:fldCharType="end"/>
          </w:r>
          <w:r>
            <w:rPr>
              <w:rFonts w:hint="eastAsia"/>
              <w:bCs w:val="0"/>
              <w:color w:val="000000" w:themeColor="text1"/>
              <w:highlight w:val="none"/>
              <w:shd w:val="clear" w:color="auto" w:fill="auto"/>
              <w14:textFill>
                <w14:solidFill>
                  <w14:schemeClr w14:val="tx1"/>
                </w14:solidFill>
              </w14:textFill>
            </w:rPr>
            <w:fldChar w:fldCharType="end"/>
          </w:r>
        </w:p>
        <w:p w14:paraId="5C6141A6">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val="0"/>
            <w:spacing w:before="0" w:line="360" w:lineRule="auto"/>
            <w:textAlignment w:val="auto"/>
            <w:rPr>
              <w:color w:val="000000" w:themeColor="text1"/>
              <w:highlight w:val="none"/>
              <w:shd w:val="clear" w:color="auto" w:fill="auto"/>
              <w14:textFill>
                <w14:solidFill>
                  <w14:schemeClr w14:val="tx1"/>
                </w14:solidFill>
              </w14:textFill>
            </w:rPr>
          </w:pPr>
          <w:r>
            <w:rPr>
              <w:rFonts w:ascii="Times New Roman" w:hAnsi="Times New Roman"/>
              <w:color w:val="000000" w:themeColor="text1"/>
              <w:highlight w:val="none"/>
              <w:shd w:val="clear" w:color="auto" w:fill="auto"/>
              <w14:textFill>
                <w14:solidFill>
                  <w14:schemeClr w14:val="tx1"/>
                </w14:solidFill>
              </w14:textFill>
            </w:rPr>
            <w:fldChar w:fldCharType="begin"/>
          </w:r>
          <w:r>
            <w:rPr>
              <w:rFonts w:ascii="Times New Roman" w:hAnsi="Times New Roman"/>
              <w:color w:val="000000" w:themeColor="text1"/>
              <w:highlight w:val="none"/>
              <w:shd w:val="clear" w:color="auto" w:fill="auto"/>
              <w14:textFill>
                <w14:solidFill>
                  <w14:schemeClr w14:val="tx1"/>
                </w14:solidFill>
              </w14:textFill>
            </w:rPr>
            <w:instrText xml:space="preserve"> HYPERLINK \l _Toc24413 </w:instrText>
          </w:r>
          <w:r>
            <w:rPr>
              <w:rFonts w:ascii="Times New Roman" w:hAnsi="Times New Roman"/>
              <w:color w:val="000000" w:themeColor="text1"/>
              <w:highlight w:val="none"/>
              <w:shd w:val="clear" w:color="auto" w:fill="auto"/>
              <w14:textFill>
                <w14:solidFill>
                  <w14:schemeClr w14:val="tx1"/>
                </w14:solidFill>
              </w14:textFill>
            </w:rPr>
            <w:fldChar w:fldCharType="separate"/>
          </w:r>
          <w:r>
            <w:rPr>
              <w:rFonts w:hint="eastAsia" w:ascii="Times New Roman" w:hAnsi="Times New Roman" w:eastAsia="方正小标宋简体" w:cs="方正小标宋简体"/>
              <w:color w:val="000000" w:themeColor="text1"/>
              <w:highlight w:val="none"/>
              <w:shd w:val="clear" w:color="auto" w:fill="auto"/>
              <w14:textFill>
                <w14:solidFill>
                  <w14:schemeClr w14:val="tx1"/>
                </w14:solidFill>
              </w14:textFill>
            </w:rPr>
            <w:t>第</w:t>
          </w:r>
          <w:r>
            <w:rPr>
              <w:rFonts w:hint="eastAsia" w:ascii="Times New Roman" w:hAnsi="Times New Roman" w:eastAsia="方正小标宋简体" w:cs="方正小标宋简体"/>
              <w:color w:val="000000" w:themeColor="text1"/>
              <w:highlight w:val="none"/>
              <w:shd w:val="clear" w:color="auto" w:fill="auto"/>
              <w:lang w:eastAsia="zh-CN"/>
              <w14:textFill>
                <w14:solidFill>
                  <w14:schemeClr w14:val="tx1"/>
                </w14:solidFill>
              </w14:textFill>
            </w:rPr>
            <w:t>三</w:t>
          </w:r>
          <w:r>
            <w:rPr>
              <w:rFonts w:hint="eastAsia" w:ascii="Times New Roman" w:hAnsi="Times New Roman" w:eastAsia="方正小标宋简体" w:cs="方正小标宋简体"/>
              <w:color w:val="000000" w:themeColor="text1"/>
              <w:highlight w:val="none"/>
              <w:shd w:val="clear" w:color="auto" w:fill="auto"/>
              <w14:textFill>
                <w14:solidFill>
                  <w14:schemeClr w14:val="tx1"/>
                </w14:solidFill>
              </w14:textFill>
            </w:rPr>
            <w:t>部分</w:t>
          </w:r>
          <w:r>
            <w:rPr>
              <w:rFonts w:hint="eastAsia" w:ascii="Times New Roman" w:hAnsi="Times New Roman" w:eastAsia="方正小标宋简体" w:cs="方正小标宋简体"/>
              <w:color w:val="000000" w:themeColor="text1"/>
              <w:highlight w:val="none"/>
              <w:shd w:val="clear" w:color="auto" w:fill="auto"/>
              <w:lang w:val="en-US" w:eastAsia="zh-CN"/>
              <w14:textFill>
                <w14:solidFill>
                  <w14:schemeClr w14:val="tx1"/>
                </w14:solidFill>
              </w14:textFill>
            </w:rPr>
            <w:t xml:space="preserve">  </w:t>
          </w:r>
          <w:r>
            <w:rPr>
              <w:rFonts w:hint="eastAsia" w:ascii="Times New Roman" w:hAnsi="Times New Roman" w:eastAsia="方正小标宋简体" w:cs="方正小标宋简体"/>
              <w:color w:val="000000" w:themeColor="text1"/>
              <w:highlight w:val="none"/>
              <w:shd w:val="clear" w:color="auto" w:fill="auto"/>
              <w14:textFill>
                <w14:solidFill>
                  <w14:schemeClr w14:val="tx1"/>
                </w14:solidFill>
              </w14:textFill>
            </w:rPr>
            <w:t>名词解释</w:t>
          </w:r>
          <w:r>
            <w:rPr>
              <w:rFonts w:hint="eastAsia" w:ascii="Times New Roman" w:hAnsi="Times New Roman" w:eastAsia="方正小标宋简体" w:cs="方正小标宋简体"/>
              <w:color w:val="000000" w:themeColor="text1"/>
              <w:highlight w:val="none"/>
              <w:shd w:val="clear" w:color="auto" w:fill="auto"/>
              <w14:textFill>
                <w14:solidFill>
                  <w14:schemeClr w14:val="tx1"/>
                </w14:solidFill>
              </w14:textFill>
            </w:rPr>
            <w:tab/>
          </w:r>
          <w:r>
            <w:rPr>
              <w:color w:val="000000" w:themeColor="text1"/>
              <w:highlight w:val="none"/>
              <w:shd w:val="clear" w:color="auto" w:fill="auto"/>
              <w14:textFill>
                <w14:solidFill>
                  <w14:schemeClr w14:val="tx1"/>
                </w14:solidFill>
              </w14:textFill>
            </w:rPr>
            <w:fldChar w:fldCharType="begin"/>
          </w:r>
          <w:r>
            <w:rPr>
              <w:color w:val="000000" w:themeColor="text1"/>
              <w:highlight w:val="none"/>
              <w:shd w:val="clear" w:color="auto" w:fill="auto"/>
              <w14:textFill>
                <w14:solidFill>
                  <w14:schemeClr w14:val="tx1"/>
                </w14:solidFill>
              </w14:textFill>
            </w:rPr>
            <w:instrText xml:space="preserve"> PAGEREF _Toc24413 \h </w:instrText>
          </w:r>
          <w:r>
            <w:rPr>
              <w:color w:val="000000" w:themeColor="text1"/>
              <w:highlight w:val="none"/>
              <w:shd w:val="clear" w:color="auto" w:fill="auto"/>
              <w14:textFill>
                <w14:solidFill>
                  <w14:schemeClr w14:val="tx1"/>
                </w14:solidFill>
              </w14:textFill>
            </w:rPr>
            <w:fldChar w:fldCharType="separate"/>
          </w:r>
          <w:r>
            <w:rPr>
              <w:color w:val="000000" w:themeColor="text1"/>
              <w:highlight w:val="none"/>
              <w:shd w:val="clear" w:color="auto" w:fill="auto"/>
              <w14:textFill>
                <w14:solidFill>
                  <w14:schemeClr w14:val="tx1"/>
                </w14:solidFill>
              </w14:textFill>
            </w:rPr>
            <w:t>13</w:t>
          </w:r>
          <w:r>
            <w:rPr>
              <w:color w:val="000000" w:themeColor="text1"/>
              <w:highlight w:val="none"/>
              <w:shd w:val="clear" w:color="auto" w:fill="auto"/>
              <w14:textFill>
                <w14:solidFill>
                  <w14:schemeClr w14:val="tx1"/>
                </w14:solidFill>
              </w14:textFill>
            </w:rPr>
            <w:fldChar w:fldCharType="end"/>
          </w:r>
          <w:r>
            <w:rPr>
              <w:rFonts w:ascii="Times New Roman" w:hAnsi="Times New Roman"/>
              <w:color w:val="000000" w:themeColor="text1"/>
              <w:highlight w:val="none"/>
              <w:shd w:val="clear" w:color="auto" w:fill="auto"/>
              <w14:textFill>
                <w14:solidFill>
                  <w14:schemeClr w14:val="tx1"/>
                </w14:solidFill>
              </w14:textFill>
            </w:rPr>
            <w:fldChar w:fldCharType="end"/>
          </w:r>
        </w:p>
        <w:p w14:paraId="4A5A2557">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val="0"/>
            <w:spacing w:before="0" w:line="360" w:lineRule="auto"/>
            <w:textAlignment w:val="auto"/>
            <w:rPr>
              <w:color w:val="000000" w:themeColor="text1"/>
              <w:highlight w:val="none"/>
              <w:shd w:val="clear" w:color="auto" w:fill="auto"/>
              <w14:textFill>
                <w14:solidFill>
                  <w14:schemeClr w14:val="tx1"/>
                </w14:solidFill>
              </w14:textFill>
            </w:rPr>
          </w:pPr>
          <w:r>
            <w:rPr>
              <w:rFonts w:ascii="Times New Roman" w:hAnsi="Times New Roman"/>
              <w:color w:val="000000" w:themeColor="text1"/>
              <w:highlight w:val="none"/>
              <w:shd w:val="clear" w:color="auto" w:fill="auto"/>
              <w14:textFill>
                <w14:solidFill>
                  <w14:schemeClr w14:val="tx1"/>
                </w14:solidFill>
              </w14:textFill>
            </w:rPr>
            <w:fldChar w:fldCharType="begin"/>
          </w:r>
          <w:r>
            <w:rPr>
              <w:rFonts w:ascii="Times New Roman" w:hAnsi="Times New Roman"/>
              <w:color w:val="000000" w:themeColor="text1"/>
              <w:highlight w:val="none"/>
              <w:shd w:val="clear" w:color="auto" w:fill="auto"/>
              <w14:textFill>
                <w14:solidFill>
                  <w14:schemeClr w14:val="tx1"/>
                </w14:solidFill>
              </w14:textFill>
            </w:rPr>
            <w:instrText xml:space="preserve"> HYPERLINK \l _Toc29454 </w:instrText>
          </w:r>
          <w:r>
            <w:rPr>
              <w:rFonts w:ascii="Times New Roman" w:hAnsi="Times New Roman"/>
              <w:color w:val="000000" w:themeColor="text1"/>
              <w:highlight w:val="none"/>
              <w:shd w:val="clear" w:color="auto" w:fill="auto"/>
              <w14:textFill>
                <w14:solidFill>
                  <w14:schemeClr w14:val="tx1"/>
                </w14:solidFill>
              </w14:textFill>
            </w:rPr>
            <w:fldChar w:fldCharType="separate"/>
          </w:r>
          <w:r>
            <w:rPr>
              <w:rFonts w:hint="eastAsia" w:ascii="Times New Roman" w:hAnsi="Times New Roman" w:eastAsia="方正小标宋简体" w:cs="方正小标宋简体"/>
              <w:color w:val="000000" w:themeColor="text1"/>
              <w:highlight w:val="none"/>
              <w:shd w:val="clear" w:color="auto" w:fill="auto"/>
              <w14:textFill>
                <w14:solidFill>
                  <w14:schemeClr w14:val="tx1"/>
                </w14:solidFill>
              </w14:textFill>
            </w:rPr>
            <w:t>第四部分</w:t>
          </w:r>
          <w:r>
            <w:rPr>
              <w:rFonts w:hint="eastAsia" w:ascii="Times New Roman" w:hAnsi="Times New Roman" w:eastAsia="方正小标宋简体" w:cs="方正小标宋简体"/>
              <w:color w:val="000000" w:themeColor="text1"/>
              <w:highlight w:val="none"/>
              <w:shd w:val="clear" w:color="auto" w:fill="auto"/>
              <w:lang w:val="en-US" w:eastAsia="zh-CN"/>
              <w14:textFill>
                <w14:solidFill>
                  <w14:schemeClr w14:val="tx1"/>
                </w14:solidFill>
              </w14:textFill>
            </w:rPr>
            <w:t xml:space="preserve"> </w:t>
          </w:r>
          <w:r>
            <w:rPr>
              <w:rFonts w:hint="eastAsia" w:ascii="Times New Roman" w:hAnsi="Times New Roman" w:eastAsia="方正小标宋简体" w:cs="方正小标宋简体"/>
              <w:color w:val="000000" w:themeColor="text1"/>
              <w:highlight w:val="none"/>
              <w:shd w:val="clear" w:color="auto" w:fill="auto"/>
              <w14:textFill>
                <w14:solidFill>
                  <w14:schemeClr w14:val="tx1"/>
                </w14:solidFill>
              </w14:textFill>
            </w:rPr>
            <w:t xml:space="preserve"> 附件</w:t>
          </w:r>
          <w:r>
            <w:rPr>
              <w:rFonts w:hint="eastAsia" w:ascii="Times New Roman" w:hAnsi="Times New Roman" w:eastAsia="方正小标宋简体" w:cs="方正小标宋简体"/>
              <w:color w:val="000000" w:themeColor="text1"/>
              <w:highlight w:val="none"/>
              <w:shd w:val="clear" w:color="auto" w:fill="auto"/>
              <w14:textFill>
                <w14:solidFill>
                  <w14:schemeClr w14:val="tx1"/>
                </w14:solidFill>
              </w14:textFill>
            </w:rPr>
            <w:tab/>
          </w:r>
          <w:r>
            <w:rPr>
              <w:color w:val="000000" w:themeColor="text1"/>
              <w:highlight w:val="none"/>
              <w:shd w:val="clear" w:color="auto" w:fill="auto"/>
              <w14:textFill>
                <w14:solidFill>
                  <w14:schemeClr w14:val="tx1"/>
                </w14:solidFill>
              </w14:textFill>
            </w:rPr>
            <w:fldChar w:fldCharType="begin"/>
          </w:r>
          <w:r>
            <w:rPr>
              <w:color w:val="000000" w:themeColor="text1"/>
              <w:highlight w:val="none"/>
              <w:shd w:val="clear" w:color="auto" w:fill="auto"/>
              <w14:textFill>
                <w14:solidFill>
                  <w14:schemeClr w14:val="tx1"/>
                </w14:solidFill>
              </w14:textFill>
            </w:rPr>
            <w:instrText xml:space="preserve"> PAGEREF _Toc29454 \h </w:instrText>
          </w:r>
          <w:r>
            <w:rPr>
              <w:color w:val="000000" w:themeColor="text1"/>
              <w:highlight w:val="none"/>
              <w:shd w:val="clear" w:color="auto" w:fill="auto"/>
              <w14:textFill>
                <w14:solidFill>
                  <w14:schemeClr w14:val="tx1"/>
                </w14:solidFill>
              </w14:textFill>
            </w:rPr>
            <w:fldChar w:fldCharType="separate"/>
          </w:r>
          <w:r>
            <w:rPr>
              <w:color w:val="000000" w:themeColor="text1"/>
              <w:highlight w:val="none"/>
              <w:shd w:val="clear" w:color="auto" w:fill="auto"/>
              <w14:textFill>
                <w14:solidFill>
                  <w14:schemeClr w14:val="tx1"/>
                </w14:solidFill>
              </w14:textFill>
            </w:rPr>
            <w:t>16</w:t>
          </w:r>
          <w:r>
            <w:rPr>
              <w:color w:val="000000" w:themeColor="text1"/>
              <w:highlight w:val="none"/>
              <w:shd w:val="clear" w:color="auto" w:fill="auto"/>
              <w14:textFill>
                <w14:solidFill>
                  <w14:schemeClr w14:val="tx1"/>
                </w14:solidFill>
              </w14:textFill>
            </w:rPr>
            <w:fldChar w:fldCharType="end"/>
          </w:r>
          <w:r>
            <w:rPr>
              <w:rFonts w:ascii="Times New Roman" w:hAnsi="Times New Roman"/>
              <w:color w:val="000000" w:themeColor="text1"/>
              <w:highlight w:val="none"/>
              <w:shd w:val="clear" w:color="auto" w:fill="auto"/>
              <w14:textFill>
                <w14:solidFill>
                  <w14:schemeClr w14:val="tx1"/>
                </w14:solidFill>
              </w14:textFill>
            </w:rPr>
            <w:fldChar w:fldCharType="end"/>
          </w:r>
        </w:p>
        <w:p w14:paraId="7EFFD19B">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val="0"/>
            <w:spacing w:before="0" w:line="360" w:lineRule="auto"/>
            <w:textAlignment w:val="auto"/>
            <w:rPr>
              <w:color w:val="000000" w:themeColor="text1"/>
              <w:highlight w:val="none"/>
              <w:shd w:val="clear" w:color="auto" w:fill="auto"/>
              <w14:textFill>
                <w14:solidFill>
                  <w14:schemeClr w14:val="tx1"/>
                </w14:solidFill>
              </w14:textFill>
            </w:rPr>
          </w:pPr>
          <w:r>
            <w:rPr>
              <w:rFonts w:ascii="Times New Roman" w:hAnsi="Times New Roman"/>
              <w:color w:val="000000" w:themeColor="text1"/>
              <w:highlight w:val="none"/>
              <w:shd w:val="clear" w:color="auto" w:fill="auto"/>
              <w14:textFill>
                <w14:solidFill>
                  <w14:schemeClr w14:val="tx1"/>
                </w14:solidFill>
              </w14:textFill>
            </w:rPr>
            <w:fldChar w:fldCharType="begin"/>
          </w:r>
          <w:r>
            <w:rPr>
              <w:rFonts w:ascii="Times New Roman" w:hAnsi="Times New Roman"/>
              <w:color w:val="000000" w:themeColor="text1"/>
              <w:highlight w:val="none"/>
              <w:shd w:val="clear" w:color="auto" w:fill="auto"/>
              <w14:textFill>
                <w14:solidFill>
                  <w14:schemeClr w14:val="tx1"/>
                </w14:solidFill>
              </w14:textFill>
            </w:rPr>
            <w:instrText xml:space="preserve"> HYPERLINK \l _Toc4307 </w:instrText>
          </w:r>
          <w:r>
            <w:rPr>
              <w:rFonts w:ascii="Times New Roman" w:hAnsi="Times New Roman"/>
              <w:color w:val="000000" w:themeColor="text1"/>
              <w:highlight w:val="none"/>
              <w:shd w:val="clear" w:color="auto" w:fill="auto"/>
              <w14:textFill>
                <w14:solidFill>
                  <w14:schemeClr w14:val="tx1"/>
                </w14:solidFill>
              </w14:textFill>
            </w:rPr>
            <w:fldChar w:fldCharType="separate"/>
          </w:r>
          <w:r>
            <w:rPr>
              <w:rFonts w:hint="eastAsia" w:ascii="Times New Roman" w:hAnsi="Times New Roman" w:eastAsia="方正小标宋简体" w:cs="方正小标宋简体"/>
              <w:color w:val="000000" w:themeColor="text1"/>
              <w:highlight w:val="none"/>
              <w:shd w:val="clear" w:color="auto" w:fill="auto"/>
              <w14:textFill>
                <w14:solidFill>
                  <w14:schemeClr w14:val="tx1"/>
                </w14:solidFill>
              </w14:textFill>
            </w:rPr>
            <w:t>第五部分 附表</w:t>
          </w:r>
          <w:r>
            <w:rPr>
              <w:rFonts w:hint="eastAsia" w:ascii="Times New Roman" w:hAnsi="Times New Roman" w:eastAsia="方正小标宋简体" w:cs="方正小标宋简体"/>
              <w:color w:val="000000" w:themeColor="text1"/>
              <w:highlight w:val="none"/>
              <w:shd w:val="clear" w:color="auto" w:fill="auto"/>
              <w14:textFill>
                <w14:solidFill>
                  <w14:schemeClr w14:val="tx1"/>
                </w14:solidFill>
              </w14:textFill>
            </w:rPr>
            <w:tab/>
          </w:r>
          <w:r>
            <w:rPr>
              <w:color w:val="000000" w:themeColor="text1"/>
              <w:highlight w:val="none"/>
              <w:shd w:val="clear" w:color="auto" w:fill="auto"/>
              <w14:textFill>
                <w14:solidFill>
                  <w14:schemeClr w14:val="tx1"/>
                </w14:solidFill>
              </w14:textFill>
            </w:rPr>
            <w:fldChar w:fldCharType="begin"/>
          </w:r>
          <w:r>
            <w:rPr>
              <w:color w:val="000000" w:themeColor="text1"/>
              <w:highlight w:val="none"/>
              <w:shd w:val="clear" w:color="auto" w:fill="auto"/>
              <w14:textFill>
                <w14:solidFill>
                  <w14:schemeClr w14:val="tx1"/>
                </w14:solidFill>
              </w14:textFill>
            </w:rPr>
            <w:instrText xml:space="preserve"> PAGEREF _Toc4307 \h </w:instrText>
          </w:r>
          <w:r>
            <w:rPr>
              <w:color w:val="000000" w:themeColor="text1"/>
              <w:highlight w:val="none"/>
              <w:shd w:val="clear" w:color="auto" w:fill="auto"/>
              <w14:textFill>
                <w14:solidFill>
                  <w14:schemeClr w14:val="tx1"/>
                </w14:solidFill>
              </w14:textFill>
            </w:rPr>
            <w:fldChar w:fldCharType="separate"/>
          </w:r>
          <w:r>
            <w:rPr>
              <w:color w:val="000000" w:themeColor="text1"/>
              <w:highlight w:val="none"/>
              <w:shd w:val="clear" w:color="auto" w:fill="auto"/>
              <w14:textFill>
                <w14:solidFill>
                  <w14:schemeClr w14:val="tx1"/>
                </w14:solidFill>
              </w14:textFill>
            </w:rPr>
            <w:t>67</w:t>
          </w:r>
          <w:r>
            <w:rPr>
              <w:color w:val="000000" w:themeColor="text1"/>
              <w:highlight w:val="none"/>
              <w:shd w:val="clear" w:color="auto" w:fill="auto"/>
              <w14:textFill>
                <w14:solidFill>
                  <w14:schemeClr w14:val="tx1"/>
                </w14:solidFill>
              </w14:textFill>
            </w:rPr>
            <w:fldChar w:fldCharType="end"/>
          </w:r>
          <w:r>
            <w:rPr>
              <w:rFonts w:ascii="Times New Roman" w:hAnsi="Times New Roman"/>
              <w:color w:val="000000" w:themeColor="text1"/>
              <w:highlight w:val="none"/>
              <w:shd w:val="clear" w:color="auto" w:fill="auto"/>
              <w14:textFill>
                <w14:solidFill>
                  <w14:schemeClr w14:val="tx1"/>
                </w14:solidFill>
              </w14:textFill>
            </w:rPr>
            <w:fldChar w:fldCharType="end"/>
          </w:r>
        </w:p>
        <w:p w14:paraId="779A73D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方正小标宋简体" w:cs="方正小标宋简体"/>
              <w:b w:val="0"/>
              <w:color w:val="000000" w:themeColor="text1"/>
              <w:highlight w:val="none"/>
              <w14:textFill>
                <w14:solidFill>
                  <w14:schemeClr w14:val="tx1"/>
                </w14:solidFill>
              </w14:textFill>
            </w:rPr>
            <w:sectPr>
              <w:headerReference r:id="rId3" w:type="default"/>
              <w:footerReference r:id="rId4" w:type="default"/>
              <w:pgSz w:w="11906" w:h="16838"/>
              <w:pgMar w:top="1723" w:right="1474" w:bottom="1553" w:left="1587" w:header="851" w:footer="992" w:gutter="0"/>
              <w:pgNumType w:fmt="decimal" w:start="1"/>
              <w:cols w:space="0" w:num="1"/>
              <w:titlePg/>
              <w:rtlGutter w:val="0"/>
              <w:docGrid w:type="lines" w:linePitch="312" w:charSpace="0"/>
            </w:sectPr>
          </w:pPr>
          <w:r>
            <w:rPr>
              <w:rFonts w:ascii="Times New Roman" w:hAnsi="Times New Roman"/>
              <w:color w:val="000000" w:themeColor="text1"/>
              <w:highlight w:val="none"/>
              <w:shd w:val="clear" w:color="auto" w:fill="auto"/>
              <w14:textFill>
                <w14:solidFill>
                  <w14:schemeClr w14:val="tx1"/>
                </w14:solidFill>
              </w14:textFill>
            </w:rPr>
            <w:fldChar w:fldCharType="end"/>
          </w:r>
          <w:bookmarkStart w:id="12" w:name="_Toc15377196"/>
          <w:bookmarkStart w:id="13" w:name="_Toc15396599"/>
          <w:bookmarkStart w:id="14" w:name="_Toc30363"/>
        </w:p>
      </w:sdtContent>
    </w:sdt>
    <w:p w14:paraId="49A4EAB4">
      <w:pPr>
        <w:pStyle w:val="3"/>
        <w:jc w:val="center"/>
        <w:rPr>
          <w:rStyle w:val="21"/>
          <w:rFonts w:hint="eastAsia" w:ascii="Times New Roman" w:hAnsi="Times New Roman" w:eastAsia="方正小标宋简体" w:cs="方正小标宋简体"/>
          <w:b/>
          <w:bCs w:val="0"/>
          <w:color w:val="000000" w:themeColor="text1"/>
          <w:highlight w:val="none"/>
          <w14:textFill>
            <w14:solidFill>
              <w14:schemeClr w14:val="tx1"/>
            </w14:solidFill>
          </w14:textFill>
        </w:rPr>
      </w:pPr>
      <w:r>
        <w:rPr>
          <w:rFonts w:hint="eastAsia" w:ascii="Times New Roman" w:hAnsi="Times New Roman" w:eastAsia="方正小标宋简体" w:cs="方正小标宋简体"/>
          <w:b w:val="0"/>
          <w:color w:val="000000" w:themeColor="text1"/>
          <w:highlight w:val="none"/>
          <w14:textFill>
            <w14:solidFill>
              <w14:schemeClr w14:val="tx1"/>
            </w14:solidFill>
          </w14:textFill>
        </w:rPr>
        <w:t>第一部分</w:t>
      </w:r>
      <w:r>
        <w:rPr>
          <w:rFonts w:hint="eastAsia" w:ascii="Times New Roman" w:hAnsi="Times New Roman" w:eastAsia="方正小标宋简体" w:cs="方正小标宋简体"/>
          <w:b w:val="0"/>
          <w:color w:val="000000" w:themeColor="text1"/>
          <w:highlight w:val="none"/>
          <w:lang w:val="en-US" w:eastAsia="zh-CN"/>
          <w14:textFill>
            <w14:solidFill>
              <w14:schemeClr w14:val="tx1"/>
            </w14:solidFill>
          </w14:textFill>
        </w:rPr>
        <w:t xml:space="preserve"> </w:t>
      </w:r>
      <w:r>
        <w:rPr>
          <w:rFonts w:hint="eastAsia" w:ascii="Times New Roman" w:hAnsi="Times New Roman" w:eastAsia="方正小标宋简体" w:cs="方正小标宋简体"/>
          <w:b w:val="0"/>
          <w:color w:val="000000" w:themeColor="text1"/>
          <w:highlight w:val="none"/>
          <w14:textFill>
            <w14:solidFill>
              <w14:schemeClr w14:val="tx1"/>
            </w14:solidFill>
          </w14:textFill>
        </w:rPr>
        <w:t xml:space="preserve"> </w:t>
      </w:r>
      <w:r>
        <w:rPr>
          <w:rStyle w:val="21"/>
          <w:rFonts w:hint="eastAsia" w:ascii="Times New Roman" w:hAnsi="Times New Roman" w:eastAsia="方正小标宋简体" w:cs="方正小标宋简体"/>
          <w:b w:val="0"/>
          <w:bCs w:val="0"/>
          <w:color w:val="000000" w:themeColor="text1"/>
          <w:highlight w:val="none"/>
          <w14:textFill>
            <w14:solidFill>
              <w14:schemeClr w14:val="tx1"/>
            </w14:solidFill>
          </w14:textFill>
        </w:rPr>
        <w:t>部门概况</w:t>
      </w:r>
      <w:bookmarkEnd w:id="12"/>
      <w:bookmarkEnd w:id="13"/>
      <w:bookmarkEnd w:id="14"/>
    </w:p>
    <w:p w14:paraId="40FC582A">
      <w:pPr>
        <w:pStyle w:val="4"/>
        <w:pageBreakBefore w:val="0"/>
        <w:widowControl w:val="0"/>
        <w:numPr>
          <w:ilvl w:val="0"/>
          <w:numId w:val="1"/>
        </w:numPr>
        <w:kinsoku/>
        <w:wordWrap/>
        <w:overflowPunct/>
        <w:topLinePunct w:val="0"/>
        <w:autoSpaceDE/>
        <w:autoSpaceDN/>
        <w:bidi w:val="0"/>
        <w:spacing w:before="0" w:after="0" w:line="560" w:lineRule="exact"/>
        <w:ind w:left="0" w:leftChars="0" w:firstLine="640" w:firstLineChars="200"/>
        <w:jc w:val="both"/>
        <w:textAlignment w:val="auto"/>
        <w:rPr>
          <w:rFonts w:hint="eastAsia" w:ascii="Times New Roman" w:hAnsi="Times New Roman" w:eastAsia="黑体"/>
          <w:b w:val="0"/>
          <w:color w:val="000000" w:themeColor="text1"/>
          <w:highlight w:val="none"/>
          <w:lang w:eastAsia="zh-CN"/>
          <w14:textFill>
            <w14:solidFill>
              <w14:schemeClr w14:val="tx1"/>
            </w14:solidFill>
          </w14:textFill>
        </w:rPr>
      </w:pPr>
      <w:bookmarkStart w:id="15" w:name="_Toc18618"/>
      <w:r>
        <w:rPr>
          <w:rFonts w:hint="eastAsia" w:ascii="Times New Roman" w:hAnsi="Times New Roman" w:eastAsia="黑体"/>
          <w:b w:val="0"/>
          <w:color w:val="000000" w:themeColor="text1"/>
          <w:highlight w:val="none"/>
          <w:lang w:eastAsia="zh-CN"/>
          <w14:textFill>
            <w14:solidFill>
              <w14:schemeClr w14:val="tx1"/>
            </w14:solidFill>
          </w14:textFill>
        </w:rPr>
        <w:t>部门职责</w:t>
      </w:r>
      <w:bookmarkEnd w:id="15"/>
    </w:p>
    <w:p w14:paraId="064D7D7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贯彻执行国家、省统计工作的方针、政策和法律、法规以及统计制度、统计标准，起草地方统计规章草案，制订全市统计规划以及地方统计制度、统计标准，审批县区、市直部门的地方统计调查项目以及涉外统计调查机构和项目，组织领导和协调全市统计工作，确保统计数据真实、准确、及时。</w:t>
      </w:r>
    </w:p>
    <w:p w14:paraId="7F46D54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（二）建立健全全市国民经济核算体系，组织实施全市国民经济核算制度，核算全市地区生产总值，整理提供国民经济核算资料，开展分析研究，指导、监督县区国民经济核算工作。</w:t>
      </w:r>
    </w:p>
    <w:p w14:paraId="673C224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组织实施农林牧渔业、工业、建筑业、批发和零售业、住宿和餐饮业、房地产业等国民经济行业以及能源、投资、人口、收入、科技、社会发展基本情况、环境基本状况等领域的统计调查，建立全市经济社会发展监测评价制度及指标体系，对重点区域和重要领域实施监测评价，牵头综合整理和提供资源、房屋、旅游、教育、卫生、邮电、交通运输、社会保障、公用事业、对外贸易、对外经济等全市基本统计资料。</w:t>
      </w:r>
    </w:p>
    <w:p w14:paraId="67105E8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（四）组织实施人口、经济、农业等普查和重大国情国力专项调查，组织实施全市投入产出调查。</w:t>
      </w:r>
    </w:p>
    <w:p w14:paraId="598B275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（五）建立健全全市统计数据质量审核、监控和评估制度，依法对县区、市直部门重要统计数据进行审核、监控和评估，组织指导统计基层基础建设。</w:t>
      </w:r>
    </w:p>
    <w:p w14:paraId="7E79AFD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（六）对国民经济、社会发展、科技进步和资源环境等情况进行统计分析和预测，定期发布全市经济社会发展情况的统计信息，向市委、市政府及有关部门提供统计咨询建议，向社会公众提供统计信息服务。</w:t>
      </w:r>
    </w:p>
    <w:p w14:paraId="52F263D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七）协助管理县区统计局正副局长，会同有关部门组织管理全市统计专业资格考试、职务评聘和从业资格认定工作，指导全市统计专业人才队伍建设，开展统计交流与合作，监督管理县区政府统计部门由中央财政和省、市级财政提供的统计经费。</w:t>
      </w:r>
    </w:p>
    <w:p w14:paraId="491E8DE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（八）组织制订县区、市直部门统计数据库和网络的基本标准和运行规则，建立健全全市统计数据库系统和统计信息自动化系统，建立健全市直部门统计信息共享制度，指导地方统计信息化建设。</w:t>
      </w:r>
    </w:p>
    <w:p w14:paraId="7A374A0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（九）承担市政府公布的有关审批事项。</w:t>
      </w:r>
    </w:p>
    <w:p w14:paraId="6C7272A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（十）承办市政府交办的其他事项。</w:t>
      </w:r>
    </w:p>
    <w:p w14:paraId="6A7C0B42">
      <w:pPr>
        <w:pStyle w:val="4"/>
        <w:pageBreakBefore w:val="0"/>
        <w:widowControl w:val="0"/>
        <w:numPr>
          <w:ilvl w:val="0"/>
          <w:numId w:val="1"/>
        </w:numPr>
        <w:kinsoku/>
        <w:wordWrap/>
        <w:overflowPunct/>
        <w:topLinePunct w:val="0"/>
        <w:autoSpaceDE/>
        <w:autoSpaceDN/>
        <w:bidi w:val="0"/>
        <w:spacing w:before="0" w:after="0" w:line="560" w:lineRule="exact"/>
        <w:ind w:left="0" w:leftChars="0" w:firstLine="640" w:firstLineChars="200"/>
        <w:jc w:val="both"/>
        <w:textAlignment w:val="auto"/>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pPr>
      <w:bookmarkStart w:id="16" w:name="_Toc15396601"/>
      <w:bookmarkStart w:id="17" w:name="_Toc15377200"/>
      <w:bookmarkStart w:id="18" w:name="_Toc22315"/>
      <w:r>
        <w:rPr>
          <w:rFonts w:hint="eastAsia" w:ascii="黑体" w:hAnsi="黑体" w:eastAsia="黑体" w:cs="黑体"/>
          <w:b w:val="0"/>
          <w:color w:val="000000" w:themeColor="text1"/>
          <w:highlight w:val="none"/>
          <w14:textFill>
            <w14:solidFill>
              <w14:schemeClr w14:val="tx1"/>
            </w14:solidFill>
          </w14:textFill>
        </w:rPr>
        <w:t>机</w:t>
      </w:r>
      <w:r>
        <w:rPr>
          <w:rStyle w:val="22"/>
          <w:rFonts w:hint="eastAsia" w:ascii="黑体" w:hAnsi="黑体" w:eastAsia="黑体" w:cs="黑体"/>
          <w:b w:val="0"/>
          <w:bCs w:val="0"/>
          <w:color w:val="000000" w:themeColor="text1"/>
          <w:highlight w:val="none"/>
          <w14:textFill>
            <w14:solidFill>
              <w14:schemeClr w14:val="tx1"/>
            </w14:solidFill>
          </w14:textFill>
        </w:rPr>
        <w:t>构设置</w:t>
      </w:r>
      <w:bookmarkEnd w:id="16"/>
      <w:bookmarkEnd w:id="17"/>
      <w:bookmarkEnd w:id="18"/>
    </w:p>
    <w:p w14:paraId="76F33F9C">
      <w:pPr>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kern w:val="2"/>
          <w:sz w:val="32"/>
          <w:szCs w:val="32"/>
          <w:highlight w:val="none"/>
          <w:lang w:val="en-US" w:eastAsia="zh-CN" w:bidi="ar-SA"/>
          <w14:textFill>
            <w14:solidFill>
              <w14:schemeClr w14:val="tx1"/>
            </w14:solidFill>
          </w14:textFill>
        </w:rPr>
        <w:t>广元市统计局</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为一级预算单位，共有</w:t>
      </w:r>
      <w:r>
        <w:rPr>
          <w:rFonts w:hint="eastAsia" w:ascii="仿宋" w:hAnsi="仿宋" w:eastAsia="仿宋" w:cs="仿宋"/>
          <w:b w:val="0"/>
          <w:bCs w:val="0"/>
          <w:color w:val="000000" w:themeColor="text1"/>
          <w:kern w:val="2"/>
          <w:sz w:val="32"/>
          <w:szCs w:val="32"/>
          <w:highlight w:val="none"/>
          <w:lang w:val="en-US" w:eastAsia="zh-CN" w:bidi="ar-SA"/>
          <w14:textFill>
            <w14:solidFill>
              <w14:schemeClr w14:val="tx1"/>
            </w14:solidFill>
          </w14:textFill>
        </w:rPr>
        <w:t>3个</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独立编制机构，其中行政单位1</w:t>
      </w:r>
      <w:r>
        <w:rPr>
          <w:rFonts w:hint="eastAsia" w:ascii="仿宋" w:hAnsi="仿宋" w:eastAsia="仿宋" w:cs="仿宋"/>
          <w:color w:val="000000" w:themeColor="text1"/>
          <w:kern w:val="0"/>
          <w:sz w:val="32"/>
          <w:szCs w:val="32"/>
          <w:lang w:val="en-US" w:eastAsia="zh-CN"/>
          <w14:textFill>
            <w14:solidFill>
              <w14:schemeClr w14:val="tx1"/>
            </w14:solidFill>
          </w14:textFill>
        </w:rPr>
        <w:t>个（广元市统计局）、</w:t>
      </w:r>
      <w:r>
        <w:rPr>
          <w:rFonts w:hint="eastAsia" w:ascii="仿宋" w:hAnsi="仿宋" w:eastAsia="仿宋" w:cs="仿宋"/>
          <w:b w:val="0"/>
          <w:bCs w:val="0"/>
          <w:color w:val="000000" w:themeColor="text1"/>
          <w:kern w:val="2"/>
          <w:sz w:val="32"/>
          <w:szCs w:val="32"/>
          <w:highlight w:val="none"/>
          <w:lang w:val="en-US" w:eastAsia="zh-CN" w:bidi="ar-SA"/>
          <w14:textFill>
            <w14:solidFill>
              <w14:schemeClr w14:val="tx1"/>
            </w14:solidFill>
          </w14:textFill>
        </w:rPr>
        <w:t>事业单位1个（广元市统计大数据管理与社情民意调查中心）、参公单位1个（广元市普查中心），</w:t>
      </w:r>
      <w:r>
        <w:rPr>
          <w:rFonts w:hint="eastAsia" w:ascii="仿宋" w:hAnsi="仿宋" w:eastAsia="仿宋" w:cs="仿宋"/>
          <w:b w:val="0"/>
          <w:bCs w:val="0"/>
          <w:color w:val="000000" w:themeColor="text1"/>
          <w:sz w:val="32"/>
          <w:szCs w:val="32"/>
          <w14:textFill>
            <w14:solidFill>
              <w14:schemeClr w14:val="tx1"/>
            </w14:solidFill>
          </w14:textFill>
        </w:rPr>
        <w:t>无下属二级预算单位。</w:t>
      </w:r>
    </w:p>
    <w:p w14:paraId="26A80849">
      <w:pPr>
        <w:pStyle w:val="4"/>
        <w:pageBreakBefore w:val="0"/>
        <w:widowControl w:val="0"/>
        <w:numPr>
          <w:ilvl w:val="0"/>
          <w:numId w:val="0"/>
        </w:numPr>
        <w:kinsoku/>
        <w:wordWrap/>
        <w:overflowPunct/>
        <w:topLinePunct w:val="0"/>
        <w:autoSpaceDE/>
        <w:autoSpaceDN/>
        <w:bidi w:val="0"/>
        <w:spacing w:before="0" w:after="0" w:line="560" w:lineRule="exact"/>
        <w:ind w:leftChars="0" w:firstLine="643" w:firstLineChars="200"/>
        <w:textAlignment w:val="auto"/>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br w:type="page"/>
      </w:r>
    </w:p>
    <w:p w14:paraId="5CAE5A57">
      <w:pPr>
        <w:pStyle w:val="3"/>
        <w:keepNext/>
        <w:keepLines/>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b w:val="0"/>
          <w:color w:val="000000" w:themeColor="text1"/>
          <w:highlight w:val="none"/>
          <w14:textFill>
            <w14:solidFill>
              <w14:schemeClr w14:val="tx1"/>
            </w14:solidFill>
          </w14:textFill>
        </w:rPr>
      </w:pPr>
      <w:bookmarkStart w:id="19" w:name="_Toc15377204"/>
      <w:bookmarkStart w:id="20" w:name="_Toc26586"/>
      <w:bookmarkStart w:id="21" w:name="_Toc15396602"/>
    </w:p>
    <w:p w14:paraId="164B0593">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color w:val="000000" w:themeColor="text1"/>
          <w:highlight w:val="none"/>
          <w14:textFill>
            <w14:solidFill>
              <w14:schemeClr w14:val="tx1"/>
            </w14:solidFill>
          </w14:textFill>
        </w:rPr>
      </w:pPr>
      <w:r>
        <w:rPr>
          <w:rFonts w:hint="eastAsia" w:ascii="方正小标宋简体" w:hAnsi="方正小标宋简体" w:eastAsia="方正小标宋简体" w:cs="方正小标宋简体"/>
          <w:b w:val="0"/>
          <w:color w:val="000000" w:themeColor="text1"/>
          <w:highlight w:val="none"/>
          <w14:textFill>
            <w14:solidFill>
              <w14:schemeClr w14:val="tx1"/>
            </w14:solidFill>
          </w14:textFill>
        </w:rPr>
        <w:t>第二部分</w:t>
      </w:r>
      <w:r>
        <w:rPr>
          <w:rFonts w:hint="eastAsia" w:ascii="方正小标宋简体" w:hAnsi="方正小标宋简体" w:eastAsia="方正小标宋简体" w:cs="方正小标宋简体"/>
          <w:b w:val="0"/>
          <w:color w:val="000000" w:themeColor="text1"/>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color w:val="000000" w:themeColor="text1"/>
          <w:highlight w:val="none"/>
          <w14:textFill>
            <w14:solidFill>
              <w14:schemeClr w14:val="tx1"/>
            </w14:solidFill>
          </w14:textFill>
        </w:rPr>
        <w:t xml:space="preserve"> </w:t>
      </w:r>
      <w:r>
        <w:rPr>
          <w:rFonts w:hint="eastAsia" w:ascii="方正小标宋简体" w:hAnsi="方正小标宋简体" w:eastAsia="方正小标宋简体" w:cs="方正小标宋简体"/>
          <w:b w:val="0"/>
          <w:color w:val="000000" w:themeColor="text1"/>
          <w:highlight w:val="none"/>
          <w:lang w:val="en-US" w:eastAsia="zh-CN"/>
          <w14:textFill>
            <w14:solidFill>
              <w14:schemeClr w14:val="tx1"/>
            </w14:solidFill>
          </w14:textFill>
        </w:rPr>
        <w:t>2024年度</w:t>
      </w:r>
      <w:r>
        <w:rPr>
          <w:rFonts w:hint="eastAsia" w:ascii="方正小标宋简体" w:hAnsi="方正小标宋简体" w:eastAsia="方正小标宋简体" w:cs="方正小标宋简体"/>
          <w:b w:val="0"/>
          <w:color w:val="000000" w:themeColor="text1"/>
          <w:highlight w:val="none"/>
          <w14:textFill>
            <w14:solidFill>
              <w14:schemeClr w14:val="tx1"/>
            </w14:solidFill>
          </w14:textFill>
        </w:rPr>
        <w:t>部门决算情况说明</w:t>
      </w:r>
      <w:bookmarkEnd w:id="19"/>
      <w:bookmarkEnd w:id="20"/>
      <w:bookmarkEnd w:id="21"/>
    </w:p>
    <w:p w14:paraId="70FB5083">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黑体"/>
          <w:color w:val="000000" w:themeColor="text1"/>
          <w:sz w:val="32"/>
          <w:szCs w:val="32"/>
          <w:highlight w:val="none"/>
          <w:lang w:eastAsia="zh-CN"/>
          <w14:textFill>
            <w14:solidFill>
              <w14:schemeClr w14:val="tx1"/>
            </w14:solidFill>
          </w14:textFill>
        </w:rPr>
      </w:pPr>
      <w:bookmarkStart w:id="22" w:name="_Toc15396603"/>
      <w:bookmarkStart w:id="23" w:name="_Toc15377205"/>
      <w:bookmarkStart w:id="24" w:name="_Toc25210"/>
    </w:p>
    <w:p w14:paraId="13913165">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Style w:val="22"/>
          <w:rFonts w:hint="eastAsia" w:ascii="Times New Roman" w:hAnsi="Times New Roman" w:eastAsia="黑体"/>
          <w:b w:val="0"/>
          <w:color w:val="000000" w:themeColor="text1"/>
          <w:highlight w:val="none"/>
          <w14:textFill>
            <w14:solidFill>
              <w14:schemeClr w14:val="tx1"/>
            </w14:solidFill>
          </w14:textFill>
        </w:rPr>
      </w:pPr>
      <w:r>
        <w:rPr>
          <w:rFonts w:hint="eastAsia" w:ascii="Times New Roman" w:hAnsi="Times New Roman" w:eastAsia="黑体"/>
          <w:color w:val="000000" w:themeColor="text1"/>
          <w:sz w:val="32"/>
          <w:szCs w:val="32"/>
          <w:highlight w:val="none"/>
          <w:lang w:eastAsia="zh-CN"/>
          <w14:textFill>
            <w14:solidFill>
              <w14:schemeClr w14:val="tx1"/>
            </w14:solidFill>
          </w14:textFill>
        </w:rPr>
        <w:t>一、</w:t>
      </w:r>
      <w:r>
        <w:rPr>
          <w:rFonts w:hint="eastAsia" w:ascii="Times New Roman" w:hAnsi="Times New Roman" w:eastAsia="黑体"/>
          <w:color w:val="000000" w:themeColor="text1"/>
          <w:sz w:val="32"/>
          <w:szCs w:val="32"/>
          <w:highlight w:val="none"/>
          <w14:textFill>
            <w14:solidFill>
              <w14:schemeClr w14:val="tx1"/>
            </w14:solidFill>
          </w14:textFill>
        </w:rPr>
        <w:t>收</w:t>
      </w:r>
      <w:r>
        <w:rPr>
          <w:rStyle w:val="22"/>
          <w:rFonts w:hint="eastAsia" w:ascii="Times New Roman" w:hAnsi="Times New Roman" w:eastAsia="黑体"/>
          <w:b w:val="0"/>
          <w:color w:val="000000" w:themeColor="text1"/>
          <w:highlight w:val="none"/>
          <w14:textFill>
            <w14:solidFill>
              <w14:schemeClr w14:val="tx1"/>
            </w14:solidFill>
          </w14:textFill>
        </w:rPr>
        <w:t>入支出决算总体情况说明</w:t>
      </w:r>
      <w:bookmarkEnd w:id="22"/>
      <w:bookmarkEnd w:id="23"/>
      <w:bookmarkEnd w:id="24"/>
    </w:p>
    <w:p w14:paraId="36985410">
      <w:pPr>
        <w:pStyle w:val="31"/>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jc w:val="left"/>
        <w:textAlignment w:val="auto"/>
        <w:outlineLvl w:val="1"/>
        <w:rPr>
          <w:rFonts w:hint="eastAsia" w:ascii="仿宋" w:hAnsi="仿宋" w:eastAsia="仿宋" w:cs="仿宋"/>
          <w:color w:val="000000" w:themeColor="text1"/>
          <w:sz w:val="32"/>
          <w:szCs w:val="32"/>
          <w:lang w:eastAsia="zh-CN"/>
          <w14:textFill>
            <w14:solidFill>
              <w14:schemeClr w14:val="tx1"/>
            </w14:solidFill>
          </w14:textFill>
        </w:rPr>
      </w:pPr>
      <w:bookmarkStart w:id="25" w:name="_Toc2686"/>
      <w:r>
        <w:rPr>
          <w:rFonts w:hint="eastAsia" w:ascii="仿宋" w:hAnsi="仿宋" w:eastAsia="仿宋" w:cs="仿宋"/>
          <w:color w:val="000000" w:themeColor="text1"/>
          <w:sz w:val="32"/>
          <w:szCs w:val="32"/>
          <w:lang w:eastAsia="zh-CN"/>
          <w14:textFill>
            <w14:solidFill>
              <w14:schemeClr w14:val="tx1"/>
            </w14:solidFill>
          </w14:textFill>
        </w:rPr>
        <w:t>2024年度收入、支出总计均为1081.63万元。与2023年度相比，收入、支出总计各减少93.95万元，下降7.99%。主要变动原因是普查专项经费减少40万元、其他收入减少</w:t>
      </w:r>
      <w:r>
        <w:rPr>
          <w:rFonts w:hint="eastAsia" w:ascii="仿宋" w:hAnsi="仿宋" w:eastAsia="仿宋" w:cs="仿宋"/>
          <w:color w:val="000000" w:themeColor="text1"/>
          <w:sz w:val="32"/>
          <w:szCs w:val="32"/>
          <w:lang w:val="en-US" w:eastAsia="zh-CN"/>
          <w14:textFill>
            <w14:solidFill>
              <w14:schemeClr w14:val="tx1"/>
            </w14:solidFill>
          </w14:textFill>
        </w:rPr>
        <w:t>30余万元、人员变动及人才引进人数变动导致相关经费减少</w:t>
      </w:r>
      <w:r>
        <w:rPr>
          <w:rFonts w:hint="eastAsia" w:ascii="仿宋" w:hAnsi="仿宋" w:eastAsia="仿宋" w:cs="仿宋"/>
          <w:color w:val="000000" w:themeColor="text1"/>
          <w:sz w:val="32"/>
          <w:szCs w:val="32"/>
          <w:lang w:eastAsia="zh-CN"/>
          <w14:textFill>
            <w14:solidFill>
              <w14:schemeClr w14:val="tx1"/>
            </w14:solidFill>
          </w14:textFill>
        </w:rPr>
        <w:t>。</w:t>
      </w:r>
      <w:bookmarkEnd w:id="25"/>
    </w:p>
    <w:p w14:paraId="28FEB8D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5271770" cy="3387090"/>
            <wp:effectExtent l="4445" t="4445" r="19685" b="18415"/>
            <wp:docPr id="103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A59907">
      <w:pPr>
        <w:pStyle w:val="31"/>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textAlignment w:val="auto"/>
        <w:outlineLvl w:val="1"/>
        <w:rPr>
          <w:rFonts w:hint="eastAsia" w:ascii="Times New Roman" w:hAnsi="Times New Roman" w:eastAsia="黑体"/>
          <w:color w:val="000000" w:themeColor="text1"/>
          <w:sz w:val="32"/>
          <w:szCs w:val="32"/>
          <w:highlight w:val="none"/>
          <w:lang w:eastAsia="zh-CN"/>
          <w14:textFill>
            <w14:solidFill>
              <w14:schemeClr w14:val="tx1"/>
            </w14:solidFill>
          </w14:textFill>
        </w:rPr>
      </w:pPr>
      <w:bookmarkStart w:id="26" w:name="_Toc15396604"/>
      <w:bookmarkStart w:id="27" w:name="_Toc12536"/>
      <w:bookmarkStart w:id="28" w:name="_Toc15377206"/>
      <w:r>
        <w:rPr>
          <w:rFonts w:hint="eastAsia" w:ascii="Times New Roman" w:hAnsi="Times New Roman" w:eastAsia="黑体"/>
          <w:color w:val="000000" w:themeColor="text1"/>
          <w:sz w:val="32"/>
          <w:szCs w:val="32"/>
          <w:highlight w:val="none"/>
          <w:lang w:eastAsia="zh-CN"/>
          <w14:textFill>
            <w14:solidFill>
              <w14:schemeClr w14:val="tx1"/>
            </w14:solidFill>
          </w14:textFill>
        </w:rPr>
        <w:t>二、收入决算情况说明</w:t>
      </w:r>
      <w:bookmarkEnd w:id="26"/>
      <w:bookmarkEnd w:id="27"/>
      <w:bookmarkEnd w:id="28"/>
    </w:p>
    <w:p w14:paraId="057A77BE">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b/>
          <w:bCs/>
          <w:color w:val="000000" w:themeColor="text1"/>
          <w:sz w:val="32"/>
          <w:szCs w:val="32"/>
          <w:highlight w:val="none"/>
          <w:lang w:eastAsia="zh-CN"/>
          <w14:textFill>
            <w14:solidFill>
              <w14:schemeClr w14:val="tx1"/>
            </w14:solidFill>
          </w14:textFill>
        </w:rPr>
      </w:pPr>
      <w:bookmarkStart w:id="29" w:name="_Toc28522"/>
      <w:r>
        <w:rPr>
          <w:rFonts w:hint="eastAsia" w:ascii="仿宋" w:hAnsi="仿宋" w:eastAsia="仿宋" w:cs="仿宋"/>
          <w:color w:val="000000" w:themeColor="text1"/>
          <w:sz w:val="32"/>
          <w:szCs w:val="32"/>
          <w:highlight w:val="none"/>
          <w:lang w:eastAsia="zh-CN"/>
          <w14:textFill>
            <w14:solidFill>
              <w14:schemeClr w14:val="tx1"/>
            </w14:solidFill>
          </w14:textFill>
        </w:rPr>
        <w:t>2024年度本年收入合计</w:t>
      </w:r>
      <w:r>
        <w:rPr>
          <w:rFonts w:hint="eastAsia" w:ascii="仿宋" w:hAnsi="仿宋" w:eastAsia="仿宋" w:cs="仿宋"/>
          <w:color w:val="000000" w:themeColor="text1"/>
          <w:sz w:val="32"/>
          <w:szCs w:val="32"/>
          <w14:textFill>
            <w14:solidFill>
              <w14:schemeClr w14:val="tx1"/>
            </w14:solidFill>
          </w14:textFill>
        </w:rPr>
        <w:t>1081.28万元，其中：一般公共预算财政拨款收入1081.28</w:t>
      </w:r>
      <w:r>
        <w:rPr>
          <w:rFonts w:hint="eastAsia" w:ascii="仿宋" w:hAnsi="仿宋" w:eastAsia="仿宋" w:cs="仿宋"/>
          <w:color w:val="000000" w:themeColor="text1"/>
          <w:sz w:val="32"/>
          <w:szCs w:val="32"/>
          <w:highlight w:val="none"/>
          <w:lang w:eastAsia="zh-CN"/>
          <w14:textFill>
            <w14:solidFill>
              <w14:schemeClr w14:val="tx1"/>
            </w14:solidFill>
          </w14:textFill>
        </w:rPr>
        <w:t>万元，占</w:t>
      </w:r>
      <w:r>
        <w:rPr>
          <w:rFonts w:hint="eastAsia"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highlight w:val="none"/>
          <w:lang w:eastAsia="zh-CN"/>
          <w14:textFill>
            <w14:solidFill>
              <w14:schemeClr w14:val="tx1"/>
            </w14:solidFill>
          </w14:textFill>
        </w:rPr>
        <w:t>%。</w:t>
      </w:r>
      <w:bookmarkEnd w:id="29"/>
    </w:p>
    <w:p w14:paraId="1AC0A5A0">
      <w:pPr>
        <w:ind w:firstLine="525" w:firstLineChars="250"/>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color w:val="000000" w:themeColor="text1"/>
          <w14:textFill>
            <w14:solidFill>
              <w14:schemeClr w14:val="tx1"/>
            </w14:solidFill>
          </w14:textFill>
        </w:rPr>
        <w:drawing>
          <wp:inline distT="0" distB="0" distL="114300" distR="114300">
            <wp:extent cx="4826000" cy="2819400"/>
            <wp:effectExtent l="4445" t="4445" r="825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EA7846">
      <w:pPr>
        <w:pStyle w:val="31"/>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textAlignment w:val="auto"/>
        <w:outlineLvl w:val="1"/>
        <w:rPr>
          <w:rStyle w:val="22"/>
          <w:rFonts w:hint="eastAsia" w:ascii="Times New Roman" w:hAnsi="Times New Roman" w:eastAsia="黑体"/>
          <w:b w:val="0"/>
          <w:color w:val="000000" w:themeColor="text1"/>
          <w:highlight w:val="none"/>
          <w14:textFill>
            <w14:solidFill>
              <w14:schemeClr w14:val="tx1"/>
            </w14:solidFill>
          </w14:textFill>
        </w:rPr>
      </w:pPr>
      <w:bookmarkStart w:id="30" w:name="_Toc15377207"/>
      <w:bookmarkStart w:id="31" w:name="_Toc13855"/>
      <w:bookmarkStart w:id="32" w:name="_Toc15396605"/>
      <w:r>
        <w:rPr>
          <w:rFonts w:hint="eastAsia" w:ascii="Times New Roman" w:hAnsi="Times New Roman" w:eastAsia="黑体"/>
          <w:color w:val="000000" w:themeColor="text1"/>
          <w:sz w:val="32"/>
          <w:szCs w:val="32"/>
          <w:highlight w:val="none"/>
          <w:lang w:eastAsia="zh-CN"/>
          <w14:textFill>
            <w14:solidFill>
              <w14:schemeClr w14:val="tx1"/>
            </w14:solidFill>
          </w14:textFill>
        </w:rPr>
        <w:t>三、</w:t>
      </w:r>
      <w:r>
        <w:rPr>
          <w:rFonts w:hint="eastAsia" w:ascii="Times New Roman" w:hAnsi="Times New Roman" w:eastAsia="黑体"/>
          <w:color w:val="000000" w:themeColor="text1"/>
          <w:sz w:val="32"/>
          <w:szCs w:val="32"/>
          <w:highlight w:val="none"/>
          <w14:textFill>
            <w14:solidFill>
              <w14:schemeClr w14:val="tx1"/>
            </w14:solidFill>
          </w14:textFill>
        </w:rPr>
        <w:t>支</w:t>
      </w:r>
      <w:r>
        <w:rPr>
          <w:rStyle w:val="22"/>
          <w:rFonts w:hint="eastAsia" w:ascii="Times New Roman" w:hAnsi="Times New Roman" w:eastAsia="黑体"/>
          <w:b w:val="0"/>
          <w:color w:val="000000" w:themeColor="text1"/>
          <w:highlight w:val="none"/>
          <w14:textFill>
            <w14:solidFill>
              <w14:schemeClr w14:val="tx1"/>
            </w14:solidFill>
          </w14:textFill>
        </w:rPr>
        <w:t>出决算情况说明</w:t>
      </w:r>
      <w:bookmarkEnd w:id="30"/>
      <w:bookmarkEnd w:id="31"/>
      <w:bookmarkEnd w:id="32"/>
    </w:p>
    <w:p w14:paraId="1EFA14D7">
      <w:pPr>
        <w:pStyle w:val="31"/>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jc w:val="left"/>
        <w:textAlignment w:val="auto"/>
        <w:outlineLvl w:val="1"/>
        <w:rPr>
          <w:rFonts w:hint="eastAsia" w:ascii="仿宋" w:hAnsi="仿宋" w:eastAsia="仿宋" w:cs="仿宋"/>
          <w:color w:val="000000" w:themeColor="text1"/>
          <w:sz w:val="32"/>
          <w:szCs w:val="32"/>
          <w:highlight w:val="none"/>
          <w:lang w:eastAsia="zh-CN"/>
          <w14:textFill>
            <w14:solidFill>
              <w14:schemeClr w14:val="tx1"/>
            </w14:solidFill>
          </w14:textFill>
        </w:rPr>
      </w:pPr>
      <w:bookmarkStart w:id="33" w:name="_Toc21716"/>
      <w:r>
        <w:rPr>
          <w:rFonts w:hint="eastAsia" w:ascii="仿宋" w:hAnsi="仿宋" w:eastAsia="仿宋" w:cs="仿宋"/>
          <w:color w:val="000000" w:themeColor="text1"/>
          <w:sz w:val="32"/>
          <w:szCs w:val="32"/>
          <w:highlight w:val="none"/>
          <w:lang w:eastAsia="zh-CN"/>
          <w14:textFill>
            <w14:solidFill>
              <w14:schemeClr w14:val="tx1"/>
            </w14:solidFill>
          </w14:textFill>
        </w:rPr>
        <w:t>2024年度本年支出合计</w:t>
      </w:r>
      <w:r>
        <w:rPr>
          <w:rFonts w:hint="eastAsia" w:ascii="仿宋" w:hAnsi="仿宋" w:eastAsia="仿宋" w:cs="仿宋"/>
          <w:color w:val="000000" w:themeColor="text1"/>
          <w:sz w:val="32"/>
          <w:szCs w:val="32"/>
          <w14:textFill>
            <w14:solidFill>
              <w14:schemeClr w14:val="tx1"/>
            </w14:solidFill>
          </w14:textFill>
        </w:rPr>
        <w:t>1081.34</w:t>
      </w:r>
      <w:r>
        <w:rPr>
          <w:rFonts w:hint="eastAsia" w:ascii="仿宋" w:hAnsi="仿宋" w:eastAsia="仿宋" w:cs="仿宋"/>
          <w:color w:val="000000" w:themeColor="text1"/>
          <w:sz w:val="32"/>
          <w:szCs w:val="32"/>
          <w:highlight w:val="none"/>
          <w:lang w:eastAsia="zh-CN"/>
          <w14:textFill>
            <w14:solidFill>
              <w14:schemeClr w14:val="tx1"/>
            </w14:solidFill>
          </w14:textFill>
        </w:rPr>
        <w:t>万元，其中：基本支出</w:t>
      </w:r>
      <w:r>
        <w:rPr>
          <w:rFonts w:hint="eastAsia" w:ascii="仿宋" w:hAnsi="仿宋" w:eastAsia="仿宋" w:cs="仿宋"/>
          <w:color w:val="000000" w:themeColor="text1"/>
          <w:sz w:val="32"/>
          <w:szCs w:val="32"/>
          <w14:textFill>
            <w14:solidFill>
              <w14:schemeClr w14:val="tx1"/>
            </w14:solidFill>
          </w14:textFill>
        </w:rPr>
        <w:t>917.11</w:t>
      </w:r>
      <w:r>
        <w:rPr>
          <w:rFonts w:hint="eastAsia" w:ascii="仿宋" w:hAnsi="仿宋" w:eastAsia="仿宋" w:cs="仿宋"/>
          <w:color w:val="000000" w:themeColor="text1"/>
          <w:sz w:val="32"/>
          <w:szCs w:val="32"/>
          <w:highlight w:val="none"/>
          <w:lang w:eastAsia="zh-CN"/>
          <w14:textFill>
            <w14:solidFill>
              <w14:schemeClr w14:val="tx1"/>
            </w14:solidFill>
          </w14:textFill>
        </w:rPr>
        <w:t>万元，占</w:t>
      </w:r>
      <w:r>
        <w:rPr>
          <w:rFonts w:hint="eastAsia" w:ascii="仿宋" w:hAnsi="仿宋" w:eastAsia="仿宋" w:cs="仿宋"/>
          <w:color w:val="000000" w:themeColor="text1"/>
          <w:sz w:val="32"/>
          <w:szCs w:val="32"/>
          <w14:textFill>
            <w14:solidFill>
              <w14:schemeClr w14:val="tx1"/>
            </w14:solidFill>
          </w14:textFill>
        </w:rPr>
        <w:t>84.81</w:t>
      </w:r>
      <w:r>
        <w:rPr>
          <w:rFonts w:hint="eastAsia" w:ascii="仿宋" w:hAnsi="仿宋" w:eastAsia="仿宋" w:cs="仿宋"/>
          <w:color w:val="000000" w:themeColor="text1"/>
          <w:sz w:val="32"/>
          <w:szCs w:val="32"/>
          <w:highlight w:val="none"/>
          <w:lang w:eastAsia="zh-CN"/>
          <w14:textFill>
            <w14:solidFill>
              <w14:schemeClr w14:val="tx1"/>
            </w14:solidFill>
          </w14:textFill>
        </w:rPr>
        <w:t>%；项目支出</w:t>
      </w:r>
      <w:r>
        <w:rPr>
          <w:rFonts w:hint="eastAsia" w:ascii="仿宋" w:hAnsi="仿宋" w:eastAsia="仿宋" w:cs="仿宋"/>
          <w:color w:val="000000" w:themeColor="text1"/>
          <w:sz w:val="32"/>
          <w:szCs w:val="32"/>
          <w14:textFill>
            <w14:solidFill>
              <w14:schemeClr w14:val="tx1"/>
            </w14:solidFill>
          </w14:textFill>
        </w:rPr>
        <w:t>164.24</w:t>
      </w:r>
      <w:r>
        <w:rPr>
          <w:rFonts w:hint="eastAsia" w:ascii="仿宋" w:hAnsi="仿宋" w:eastAsia="仿宋" w:cs="仿宋"/>
          <w:color w:val="000000" w:themeColor="text1"/>
          <w:sz w:val="32"/>
          <w:szCs w:val="32"/>
          <w:highlight w:val="none"/>
          <w:lang w:eastAsia="zh-CN"/>
          <w14:textFill>
            <w14:solidFill>
              <w14:schemeClr w14:val="tx1"/>
            </w14:solidFill>
          </w14:textFill>
        </w:rPr>
        <w:t>万元，占</w:t>
      </w:r>
      <w:r>
        <w:rPr>
          <w:rFonts w:hint="eastAsia" w:ascii="仿宋" w:hAnsi="仿宋" w:eastAsia="仿宋" w:cs="仿宋"/>
          <w:color w:val="000000" w:themeColor="text1"/>
          <w:sz w:val="32"/>
          <w:szCs w:val="32"/>
          <w14:textFill>
            <w14:solidFill>
              <w14:schemeClr w14:val="tx1"/>
            </w14:solidFill>
          </w14:textFill>
        </w:rPr>
        <w:t>15.1</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highlight w:val="none"/>
          <w:lang w:eastAsia="zh-CN"/>
          <w14:textFill>
            <w14:solidFill>
              <w14:schemeClr w14:val="tx1"/>
            </w14:solidFill>
          </w14:textFill>
        </w:rPr>
        <w:t>%。</w:t>
      </w:r>
      <w:bookmarkEnd w:id="33"/>
    </w:p>
    <w:p w14:paraId="230C7E9A">
      <w:pPr>
        <w:ind w:firstLine="525" w:firstLineChars="250"/>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color w:val="000000" w:themeColor="text1"/>
          <w14:textFill>
            <w14:solidFill>
              <w14:schemeClr w14:val="tx1"/>
            </w14:solidFill>
          </w14:textFill>
        </w:rPr>
        <w:drawing>
          <wp:inline distT="0" distB="0" distL="114300" distR="114300">
            <wp:extent cx="4826000" cy="2813050"/>
            <wp:effectExtent l="4445" t="4445" r="8255" b="20955"/>
            <wp:docPr id="104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F58454">
      <w:pPr>
        <w:spacing w:line="600" w:lineRule="exact"/>
        <w:ind w:firstLine="640" w:firstLineChars="200"/>
        <w:outlineLvl w:val="1"/>
        <w:rPr>
          <w:rStyle w:val="22"/>
          <w:rFonts w:ascii="Times New Roman" w:hAnsi="Times New Roman" w:eastAsia="黑体"/>
          <w:b w:val="0"/>
          <w:color w:val="000000" w:themeColor="text1"/>
          <w:highlight w:val="none"/>
          <w14:textFill>
            <w14:solidFill>
              <w14:schemeClr w14:val="tx1"/>
            </w14:solidFill>
          </w14:textFill>
        </w:rPr>
      </w:pPr>
      <w:bookmarkStart w:id="34" w:name="_Toc15396606"/>
      <w:bookmarkStart w:id="35" w:name="_Toc30057"/>
      <w:bookmarkStart w:id="36" w:name="_Toc15377208"/>
      <w:r>
        <w:rPr>
          <w:rFonts w:hint="eastAsia" w:ascii="Times New Roman" w:hAnsi="Times New Roman" w:eastAsia="黑体"/>
          <w:color w:val="000000" w:themeColor="text1"/>
          <w:sz w:val="32"/>
          <w:szCs w:val="32"/>
          <w:highlight w:val="none"/>
          <w14:textFill>
            <w14:solidFill>
              <w14:schemeClr w14:val="tx1"/>
            </w14:solidFill>
          </w14:textFill>
        </w:rPr>
        <w:t>四、财</w:t>
      </w:r>
      <w:r>
        <w:rPr>
          <w:rStyle w:val="22"/>
          <w:rFonts w:hint="eastAsia" w:ascii="Times New Roman" w:hAnsi="Times New Roman" w:eastAsia="黑体"/>
          <w:b w:val="0"/>
          <w:color w:val="000000" w:themeColor="text1"/>
          <w:highlight w:val="none"/>
          <w14:textFill>
            <w14:solidFill>
              <w14:schemeClr w14:val="tx1"/>
            </w14:solidFill>
          </w14:textFill>
        </w:rPr>
        <w:t>政拨款收入支出决算总体情况说明</w:t>
      </w:r>
      <w:bookmarkEnd w:id="34"/>
      <w:bookmarkEnd w:id="35"/>
      <w:bookmarkEnd w:id="36"/>
    </w:p>
    <w:p w14:paraId="56B4E329">
      <w:pPr>
        <w:pStyle w:val="31"/>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jc w:val="left"/>
        <w:textAlignment w:val="auto"/>
        <w:outlineLvl w:val="1"/>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2024年度财政拨款收入、支出总计均为1081.28万元。与2023年度相比，财政拨款收入总计、支出总计各减少63.71万元，下降5.56%。</w:t>
      </w:r>
      <w:r>
        <w:rPr>
          <w:rFonts w:hint="eastAsia" w:ascii="仿宋" w:hAnsi="仿宋" w:eastAsia="仿宋" w:cs="仿宋"/>
          <w:color w:val="000000" w:themeColor="text1"/>
          <w:sz w:val="32"/>
          <w:szCs w:val="32"/>
          <w:lang w:eastAsia="zh-CN"/>
          <w14:textFill>
            <w14:solidFill>
              <w14:schemeClr w14:val="tx1"/>
            </w14:solidFill>
          </w14:textFill>
        </w:rPr>
        <w:t>主要变动原因是普查专项经费减少40万元、</w:t>
      </w:r>
      <w:r>
        <w:rPr>
          <w:rFonts w:hint="eastAsia" w:ascii="仿宋" w:hAnsi="仿宋" w:eastAsia="仿宋" w:cs="仿宋"/>
          <w:color w:val="000000" w:themeColor="text1"/>
          <w:sz w:val="32"/>
          <w:szCs w:val="32"/>
          <w:lang w:val="en-US" w:eastAsia="zh-CN"/>
          <w14:textFill>
            <w14:solidFill>
              <w14:schemeClr w14:val="tx1"/>
            </w14:solidFill>
          </w14:textFill>
        </w:rPr>
        <w:t>人员变动及人才引进人数变动导致相关经费减少</w:t>
      </w:r>
      <w:r>
        <w:rPr>
          <w:rFonts w:hint="eastAsia" w:ascii="仿宋" w:hAnsi="仿宋" w:eastAsia="仿宋" w:cs="仿宋"/>
          <w:color w:val="000000" w:themeColor="text1"/>
          <w:sz w:val="32"/>
          <w:szCs w:val="32"/>
          <w:lang w:eastAsia="zh-CN"/>
          <w14:textFill>
            <w14:solidFill>
              <w14:schemeClr w14:val="tx1"/>
            </w14:solidFill>
          </w14:textFill>
        </w:rPr>
        <w:t>。</w:t>
      </w:r>
    </w:p>
    <w:p w14:paraId="585D8A5A">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firstLine="638" w:firstLineChars="304"/>
        <w:textAlignment w:val="auto"/>
        <w:outlineLvl w:val="1"/>
        <w:rPr>
          <w:rStyle w:val="22"/>
          <w:rFonts w:ascii="Times New Roman" w:hAnsi="Times New Roman" w:eastAsia="黑体"/>
          <w:b w:val="0"/>
          <w:color w:val="000000" w:themeColor="text1"/>
          <w:highlight w:val="none"/>
          <w14:textFill>
            <w14:solidFill>
              <w14:schemeClr w14:val="tx1"/>
            </w14:solidFill>
          </w14:textFill>
        </w:rPr>
      </w:pPr>
      <w:bookmarkStart w:id="37" w:name="_Toc15377209"/>
      <w:bookmarkStart w:id="38" w:name="_Toc24059"/>
      <w:bookmarkStart w:id="39" w:name="_Toc15396607"/>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96520</wp:posOffset>
            </wp:positionH>
            <wp:positionV relativeFrom="paragraph">
              <wp:posOffset>132080</wp:posOffset>
            </wp:positionV>
            <wp:extent cx="5271770" cy="3848100"/>
            <wp:effectExtent l="4445" t="4445" r="19685" b="14605"/>
            <wp:wrapTopAndBottom/>
            <wp:docPr id="3074"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Times New Roman" w:hAnsi="Times New Roman" w:eastAsia="黑体"/>
          <w:color w:val="000000" w:themeColor="text1"/>
          <w:sz w:val="32"/>
          <w:szCs w:val="32"/>
          <w:highlight w:val="none"/>
          <w14:textFill>
            <w14:solidFill>
              <w14:schemeClr w14:val="tx1"/>
            </w14:solidFill>
          </w14:textFill>
        </w:rPr>
        <w:t>五、</w:t>
      </w:r>
      <w:r>
        <w:rPr>
          <w:rFonts w:hint="eastAsia" w:ascii="Times New Roman" w:hAnsi="Times New Roman" w:eastAsia="黑体"/>
          <w:b/>
          <w:color w:val="000000" w:themeColor="text1"/>
          <w:sz w:val="32"/>
          <w:szCs w:val="32"/>
          <w:highlight w:val="none"/>
          <w14:textFill>
            <w14:solidFill>
              <w14:schemeClr w14:val="tx1"/>
            </w14:solidFill>
          </w14:textFill>
        </w:rPr>
        <w:t>一</w:t>
      </w:r>
      <w:r>
        <w:rPr>
          <w:rStyle w:val="22"/>
          <w:rFonts w:hint="eastAsia" w:ascii="Times New Roman" w:hAnsi="Times New Roman" w:eastAsia="黑体"/>
          <w:b w:val="0"/>
          <w:color w:val="000000" w:themeColor="text1"/>
          <w:highlight w:val="none"/>
          <w14:textFill>
            <w14:solidFill>
              <w14:schemeClr w14:val="tx1"/>
            </w14:solidFill>
          </w14:textFill>
        </w:rPr>
        <w:t>般公共预算财政拨款支出决算情况说明</w:t>
      </w:r>
      <w:bookmarkEnd w:id="37"/>
      <w:bookmarkEnd w:id="38"/>
      <w:bookmarkEnd w:id="39"/>
    </w:p>
    <w:p w14:paraId="79D0D7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 w:hAnsi="楷体" w:eastAsia="楷体" w:cs="楷体"/>
          <w:b w:val="0"/>
          <w:bCs/>
          <w:color w:val="000000" w:themeColor="text1"/>
          <w:sz w:val="32"/>
          <w:szCs w:val="32"/>
          <w:highlight w:val="none"/>
          <w14:textFill>
            <w14:solidFill>
              <w14:schemeClr w14:val="tx1"/>
            </w14:solidFill>
          </w14:textFill>
        </w:rPr>
      </w:pPr>
      <w:bookmarkStart w:id="40" w:name="_Toc15377210"/>
      <w:r>
        <w:rPr>
          <w:rFonts w:hint="eastAsia" w:ascii="楷体" w:hAnsi="楷体" w:eastAsia="楷体" w:cs="楷体"/>
          <w:b w:val="0"/>
          <w:bCs/>
          <w:color w:val="000000" w:themeColor="text1"/>
          <w:sz w:val="32"/>
          <w:szCs w:val="32"/>
          <w:highlight w:val="none"/>
          <w14:textFill>
            <w14:solidFill>
              <w14:schemeClr w14:val="tx1"/>
            </w14:solidFill>
          </w14:textFill>
        </w:rPr>
        <w:t>（一）一般公共预算财政拨款支出决算总体情况</w:t>
      </w:r>
      <w:bookmarkEnd w:id="40"/>
    </w:p>
    <w:p w14:paraId="12A9A2F6">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2024年度一般公共预算财政拨款支出</w:t>
      </w:r>
      <w:r>
        <w:rPr>
          <w:rFonts w:hint="eastAsia" w:ascii="仿宋" w:hAnsi="仿宋" w:eastAsia="仿宋" w:cs="仿宋"/>
          <w:color w:val="000000" w:themeColor="text1"/>
          <w:sz w:val="32"/>
          <w:szCs w:val="32"/>
          <w14:textFill>
            <w14:solidFill>
              <w14:schemeClr w14:val="tx1"/>
            </w14:solidFill>
          </w14:textFill>
        </w:rPr>
        <w:t>1081.28</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万元，占本年支出合计的</w:t>
      </w:r>
      <w:r>
        <w:rPr>
          <w:rFonts w:hint="eastAsia" w:ascii="仿宋" w:hAnsi="仿宋" w:eastAsia="仿宋" w:cs="仿宋"/>
          <w:color w:val="000000" w:themeColor="text1"/>
          <w:sz w:val="32"/>
          <w:szCs w:val="32"/>
          <w14:textFill>
            <w14:solidFill>
              <w14:schemeClr w14:val="tx1"/>
            </w14:solidFill>
          </w14:textFill>
        </w:rPr>
        <w:t>99.99</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%。与2023年度相比，一般公共预算财政拨款支出</w:t>
      </w:r>
      <w:r>
        <w:rPr>
          <w:rFonts w:hint="eastAsia" w:ascii="仿宋" w:hAnsi="仿宋" w:eastAsia="仿宋" w:cs="仿宋"/>
          <w:color w:val="000000" w:themeColor="text1"/>
          <w:kern w:val="2"/>
          <w:sz w:val="32"/>
          <w:szCs w:val="32"/>
          <w:lang w:val="en-US" w:eastAsia="zh-CN" w:bidi="ar-SA"/>
          <w14:textFill>
            <w14:solidFill>
              <w14:schemeClr w14:val="tx1"/>
            </w14:solidFill>
          </w14:textFill>
        </w:rPr>
        <w:t>减少63.71万元，下降5.56%。</w:t>
      </w:r>
      <w:r>
        <w:rPr>
          <w:rFonts w:hint="eastAsia" w:ascii="仿宋" w:hAnsi="仿宋" w:eastAsia="仿宋" w:cs="仿宋"/>
          <w:color w:val="000000" w:themeColor="text1"/>
          <w:sz w:val="32"/>
          <w:szCs w:val="32"/>
          <w:lang w:eastAsia="zh-CN"/>
          <w14:textFill>
            <w14:solidFill>
              <w14:schemeClr w14:val="tx1"/>
            </w14:solidFill>
          </w14:textFill>
        </w:rPr>
        <w:t>主要变动原因是普查专项经费减少40万元、</w:t>
      </w:r>
      <w:r>
        <w:rPr>
          <w:rFonts w:hint="eastAsia" w:ascii="仿宋" w:hAnsi="仿宋" w:eastAsia="仿宋" w:cs="仿宋"/>
          <w:color w:val="000000" w:themeColor="text1"/>
          <w:sz w:val="32"/>
          <w:szCs w:val="32"/>
          <w:lang w:val="en-US" w:eastAsia="zh-CN"/>
          <w14:textFill>
            <w14:solidFill>
              <w14:schemeClr w14:val="tx1"/>
            </w14:solidFill>
          </w14:textFill>
        </w:rPr>
        <w:t>人员变动及人才引进人数变动导致相关经费减少</w:t>
      </w:r>
      <w:r>
        <w:rPr>
          <w:rFonts w:hint="eastAsia" w:ascii="仿宋" w:hAnsi="仿宋" w:eastAsia="仿宋" w:cs="仿宋"/>
          <w:color w:val="000000" w:themeColor="text1"/>
          <w:sz w:val="32"/>
          <w:szCs w:val="32"/>
          <w:lang w:eastAsia="zh-CN"/>
          <w14:textFill>
            <w14:solidFill>
              <w14:schemeClr w14:val="tx1"/>
            </w14:solidFill>
          </w14:textFill>
        </w:rPr>
        <w:t>。</w:t>
      </w:r>
    </w:p>
    <w:p w14:paraId="5444301A">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1EBF4432">
      <w:pPr>
        <w:pStyle w:val="2"/>
        <w:rPr>
          <w:rFonts w:hint="eastAsia" w:ascii="仿宋" w:hAnsi="仿宋" w:eastAsia="仿宋"/>
          <w:color w:val="000000" w:themeColor="text1"/>
          <w:sz w:val="32"/>
          <w:szCs w:val="32"/>
          <w:lang w:eastAsia="zh-CN"/>
          <w14:textFill>
            <w14:solidFill>
              <w14:schemeClr w14:val="tx1"/>
            </w14:solidFill>
          </w14:textFill>
        </w:rPr>
      </w:pPr>
    </w:p>
    <w:p w14:paraId="4C82CCB3">
      <w:pPr>
        <w:pStyle w:val="2"/>
        <w:keepNext w:val="0"/>
        <w:keepLines w:val="0"/>
        <w:pageBreakBefore w:val="0"/>
        <w:widowControl w:val="0"/>
        <w:kinsoku/>
        <w:wordWrap/>
        <w:overflowPunct/>
        <w:topLinePunct w:val="0"/>
        <w:autoSpaceDE/>
        <w:autoSpaceDN/>
        <w:bidi w:val="0"/>
        <w:adjustRightInd/>
        <w:snapToGrid/>
        <w:spacing w:before="157" w:beforeLines="50" w:after="0" w:line="560" w:lineRule="exact"/>
        <w:ind w:left="0" w:leftChars="0" w:firstLine="640" w:firstLineChars="200"/>
        <w:textAlignment w:val="auto"/>
        <w:rPr>
          <w:rFonts w:hint="eastAsia" w:ascii="楷体" w:hAnsi="楷体" w:eastAsia="楷体" w:cs="楷体"/>
          <w:b w:val="0"/>
          <w:bCs/>
          <w:color w:val="000000" w:themeColor="text1"/>
          <w:sz w:val="32"/>
          <w:szCs w:val="32"/>
          <w:highlight w:val="none"/>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1312" behindDoc="0" locked="0" layoutInCell="1" allowOverlap="1">
            <wp:simplePos x="0" y="0"/>
            <wp:positionH relativeFrom="column">
              <wp:posOffset>48895</wp:posOffset>
            </wp:positionH>
            <wp:positionV relativeFrom="paragraph">
              <wp:posOffset>109220</wp:posOffset>
            </wp:positionV>
            <wp:extent cx="5271770" cy="3105150"/>
            <wp:effectExtent l="4445" t="4445" r="19685" b="14605"/>
            <wp:wrapTopAndBottom/>
            <wp:docPr id="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41" w:name="_Toc15377211"/>
      <w:r>
        <w:rPr>
          <w:rFonts w:hint="eastAsia" w:ascii="楷体" w:hAnsi="楷体" w:eastAsia="楷体" w:cs="楷体"/>
          <w:b w:val="0"/>
          <w:bCs/>
          <w:color w:val="000000" w:themeColor="text1"/>
          <w:sz w:val="32"/>
          <w:szCs w:val="32"/>
          <w:highlight w:val="none"/>
          <w14:textFill>
            <w14:solidFill>
              <w14:schemeClr w14:val="tx1"/>
            </w14:solidFill>
          </w14:textFill>
        </w:rPr>
        <w:t>（二）一般公共预算财政拨款支出决算结构情况</w:t>
      </w:r>
      <w:bookmarkEnd w:id="41"/>
    </w:p>
    <w:p w14:paraId="2E5D59D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drawing>
          <wp:anchor distT="0" distB="0" distL="114300" distR="114300" simplePos="0" relativeHeight="251662336" behindDoc="0" locked="0" layoutInCell="1" allowOverlap="1">
            <wp:simplePos x="0" y="0"/>
            <wp:positionH relativeFrom="column">
              <wp:posOffset>4445</wp:posOffset>
            </wp:positionH>
            <wp:positionV relativeFrom="paragraph">
              <wp:posOffset>2207895</wp:posOffset>
            </wp:positionV>
            <wp:extent cx="5272405" cy="3088640"/>
            <wp:effectExtent l="4445" t="4445" r="19050" b="1206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s="仿宋"/>
          <w:color w:val="000000" w:themeColor="text1"/>
          <w:kern w:val="2"/>
          <w:sz w:val="32"/>
          <w:szCs w:val="32"/>
          <w:lang w:val="en-US" w:eastAsia="zh-CN" w:bidi="ar-SA"/>
          <w14:textFill>
            <w14:solidFill>
              <w14:schemeClr w14:val="tx1"/>
            </w14:solidFill>
          </w14:textFill>
        </w:rPr>
        <w:t>2024年度一般公共预算财政拨款支出1081.28万元，主要用于以下方面：一般公共服务支出814.88万元，占75.37%；社会保障和就业支出164.71万元，占15.23%；卫生健康支出27.93万元，占2.58%；住房保障支出73.76万元，占6.82%。</w:t>
      </w:r>
    </w:p>
    <w:p w14:paraId="5F5EB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 w:hAnsi="楷体" w:eastAsia="楷体" w:cs="楷体"/>
          <w:b w:val="0"/>
          <w:bCs/>
          <w:color w:val="000000" w:themeColor="text1"/>
          <w:sz w:val="32"/>
          <w:szCs w:val="32"/>
          <w:highlight w:val="none"/>
          <w14:textFill>
            <w14:solidFill>
              <w14:schemeClr w14:val="tx1"/>
            </w14:solidFill>
          </w14:textFill>
        </w:rPr>
      </w:pPr>
      <w:bookmarkStart w:id="42" w:name="_Toc15377212"/>
      <w:r>
        <w:rPr>
          <w:rFonts w:hint="eastAsia" w:ascii="楷体" w:hAnsi="楷体" w:eastAsia="楷体" w:cs="楷体"/>
          <w:b w:val="0"/>
          <w:bCs/>
          <w:color w:val="000000" w:themeColor="text1"/>
          <w:sz w:val="32"/>
          <w:szCs w:val="32"/>
          <w:highlight w:val="none"/>
          <w14:textFill>
            <w14:solidFill>
              <w14:schemeClr w14:val="tx1"/>
            </w14:solidFill>
          </w14:textFill>
        </w:rPr>
        <w:t>（三）一般公共预算财政拨款支出决算具体情况</w:t>
      </w:r>
      <w:bookmarkEnd w:id="42"/>
    </w:p>
    <w:p w14:paraId="739177B3">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bookmarkStart w:id="43" w:name="_Toc15378460"/>
      <w:bookmarkStart w:id="44" w:name="_Toc15377444"/>
      <w:bookmarkStart w:id="45" w:name="_Toc15377213"/>
      <w:r>
        <w:rPr>
          <w:rFonts w:hint="eastAsia" w:ascii="仿宋" w:hAnsi="仿宋" w:eastAsia="仿宋" w:cs="仿宋"/>
          <w:color w:val="000000" w:themeColor="text1"/>
          <w:kern w:val="2"/>
          <w:sz w:val="32"/>
          <w:szCs w:val="32"/>
          <w:lang w:val="en-US" w:eastAsia="zh-CN" w:bidi="ar-SA"/>
          <w14:textFill>
            <w14:solidFill>
              <w14:schemeClr w14:val="tx1"/>
            </w14:solidFill>
          </w14:textFill>
        </w:rPr>
        <w:t>2024年度一般公共预算财政拨款支出决算数为1081.28万元，完成预算100%。其中：</w:t>
      </w:r>
      <w:bookmarkEnd w:id="43"/>
      <w:bookmarkEnd w:id="44"/>
      <w:bookmarkEnd w:id="45"/>
    </w:p>
    <w:p w14:paraId="08B25FFC">
      <w:pPr>
        <w:keepNext w:val="0"/>
        <w:keepLines w:val="0"/>
        <w:pageBreakBefore w:val="0"/>
        <w:widowControl w:val="0"/>
        <w:numPr>
          <w:ilvl w:val="0"/>
          <w:numId w:val="2"/>
        </w:numPr>
        <w:tabs>
          <w:tab w:val="left" w:pos="1060"/>
        </w:tabs>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一般公共服务（类）统计信息事务（款）行政运行（项）：支出决算为559.16万元，完成预算100.0%。</w:t>
      </w:r>
    </w:p>
    <w:p w14:paraId="57B1BC47">
      <w:pPr>
        <w:keepNext w:val="0"/>
        <w:keepLines w:val="0"/>
        <w:pageBreakBefore w:val="0"/>
        <w:widowControl w:val="0"/>
        <w:numPr>
          <w:ilvl w:val="0"/>
          <w:numId w:val="2"/>
        </w:numPr>
        <w:tabs>
          <w:tab w:val="left" w:pos="1060"/>
        </w:tabs>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一般公共服务（类）统计信息事务（款）一般行政管理事务（项）：支出决算为111.91万元，完成预算100.0%。</w:t>
      </w:r>
    </w:p>
    <w:p w14:paraId="6C91C0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3.一般公共服务（类）统计信息事务（款）专项统计业务（项）：支出决算为52.26万元，完成预算96.58%。</w:t>
      </w:r>
    </w:p>
    <w:p w14:paraId="2F0533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4.一般公共服务（类）统计信息事务（款）事业运行（项）：</w:t>
      </w:r>
    </w:p>
    <w:p w14:paraId="5342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支出决算为91.55万元，完成预算100.0%。</w:t>
      </w:r>
    </w:p>
    <w:p w14:paraId="4436988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5.社会保障和就业（类）人力资源和社会保障管理事务（款）引进人才费用（项）：支出决算为8万元，完成预算100%。</w:t>
      </w:r>
    </w:p>
    <w:p w14:paraId="4114245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6.社会保障和就业（类）行政事业单位养老支出（款）行政单位离退休（项）：支出决算为49.64万元，完成预算100%。</w:t>
      </w:r>
    </w:p>
    <w:p w14:paraId="6F4E57E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7.社会保障和就业（类）行政事业单位养老支出（款）机关事业单位基本养老保险缴费支出（项）：支出决算为75.2万元，完成预算100%。</w:t>
      </w:r>
    </w:p>
    <w:p w14:paraId="4DE1805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8.社会保障和就业（类）行政事业单位养老支出（款）机关事业单位职业年金缴费支出（项）：支出决算为9.06万元，完成预算100%。</w:t>
      </w:r>
    </w:p>
    <w:p w14:paraId="18A6BD4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9.社会保障和就业（类）抚恤（款）死亡抚恤（项）：支出决算为22.04万元，完成预算100%。</w:t>
      </w:r>
    </w:p>
    <w:p w14:paraId="416DB60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10.社会保障和就业（类）其他社会保障和就业支出（款）其他社会保障和就业支出（项）：支出决算为0.76万元，完成预算100%。</w:t>
      </w:r>
    </w:p>
    <w:p w14:paraId="08887E4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11.卫生健康（类）行政事业单位医疗（款）行政单位医疗（项）：支出决算为27.93万元，完成预算100%。</w:t>
      </w:r>
    </w:p>
    <w:p w14:paraId="009491B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12.住房保障支出（类）住房改革支出（款）住房公积金（项）：支出决算为73.76万元，完成预算100%。</w:t>
      </w:r>
    </w:p>
    <w:p w14:paraId="0C27436B">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textAlignment w:val="auto"/>
        <w:outlineLvl w:val="1"/>
        <w:rPr>
          <w:rStyle w:val="22"/>
          <w:rFonts w:ascii="Times New Roman" w:hAnsi="Times New Roman"/>
          <w:color w:val="000000" w:themeColor="text1"/>
          <w:highlight w:val="none"/>
          <w14:textFill>
            <w14:solidFill>
              <w14:schemeClr w14:val="tx1"/>
            </w14:solidFill>
          </w14:textFill>
        </w:rPr>
      </w:pPr>
      <w:bookmarkStart w:id="46" w:name="_Toc15377214"/>
      <w:bookmarkStart w:id="47" w:name="_Toc17413"/>
      <w:bookmarkStart w:id="48" w:name="_Toc15396608"/>
      <w:r>
        <w:rPr>
          <w:rFonts w:hint="eastAsia" w:ascii="Times New Roman" w:hAnsi="Times New Roman" w:eastAsia="黑体"/>
          <w:color w:val="000000" w:themeColor="text1"/>
          <w:sz w:val="32"/>
          <w:szCs w:val="32"/>
          <w:highlight w:val="none"/>
          <w14:textFill>
            <w14:solidFill>
              <w14:schemeClr w14:val="tx1"/>
            </w14:solidFill>
          </w14:textFill>
        </w:rPr>
        <w:t>六</w:t>
      </w:r>
      <w:r>
        <w:rPr>
          <w:rFonts w:hint="eastAsia" w:ascii="Times New Roman" w:hAnsi="Times New Roman" w:eastAsia="黑体"/>
          <w:b/>
          <w:color w:val="000000" w:themeColor="text1"/>
          <w:sz w:val="32"/>
          <w:szCs w:val="32"/>
          <w:highlight w:val="none"/>
          <w14:textFill>
            <w14:solidFill>
              <w14:schemeClr w14:val="tx1"/>
            </w14:solidFill>
          </w14:textFill>
        </w:rPr>
        <w:t>、一</w:t>
      </w:r>
      <w:r>
        <w:rPr>
          <w:rStyle w:val="22"/>
          <w:rFonts w:hint="eastAsia" w:ascii="Times New Roman" w:hAnsi="Times New Roman" w:eastAsia="黑体"/>
          <w:b w:val="0"/>
          <w:color w:val="000000" w:themeColor="text1"/>
          <w:highlight w:val="none"/>
          <w14:textFill>
            <w14:solidFill>
              <w14:schemeClr w14:val="tx1"/>
            </w14:solidFill>
          </w14:textFill>
        </w:rPr>
        <w:t>般公共预算财政拨款基本支出决算情况说明</w:t>
      </w:r>
      <w:bookmarkEnd w:id="46"/>
      <w:bookmarkEnd w:id="47"/>
      <w:bookmarkEnd w:id="48"/>
      <w:r>
        <w:rPr>
          <w:rStyle w:val="22"/>
          <w:rFonts w:ascii="Times New Roman" w:hAnsi="Times New Roman" w:eastAsia="黑体"/>
          <w:b w:val="0"/>
          <w:color w:val="000000" w:themeColor="text1"/>
          <w:highlight w:val="none"/>
          <w14:textFill>
            <w14:solidFill>
              <w14:schemeClr w14:val="tx1"/>
            </w14:solidFill>
          </w14:textFill>
        </w:rPr>
        <w:tab/>
      </w:r>
    </w:p>
    <w:p w14:paraId="002D0F6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2024年度一般公共预算财政拨款基本支出917.11万元，其中：</w:t>
      </w:r>
    </w:p>
    <w:p w14:paraId="0B4049A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人员经费821.49万元，主要包括：基本工资、津贴补贴、奖金、伙食补助费、绩效工资、机关事业单位基本养老保险缴费、职业年金缴费、职工基本医疗保险缴费、其他社会保障缴费、住房公积金、抚恤金、生活补助、其他对个人和家庭的补助。</w:t>
      </w:r>
    </w:p>
    <w:p w14:paraId="2DFE20F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公用经费95.62万元，主要包括：办公费、印刷费、水费、电费、邮电费、差旅费、维修（护）费、公务接待费、劳务费、委托业务费、工会经费、福利费、公务用车运行维护费、其他交通费用、其他商品和服务支出。</w:t>
      </w:r>
    </w:p>
    <w:p w14:paraId="1DE4D71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22"/>
          <w:rFonts w:ascii="Times New Roman" w:hAnsi="Times New Roman" w:eastAsia="黑体"/>
          <w:b w:val="0"/>
          <w:color w:val="000000" w:themeColor="text1"/>
          <w:highlight w:val="none"/>
          <w14:textFill>
            <w14:solidFill>
              <w14:schemeClr w14:val="tx1"/>
            </w14:solidFill>
          </w14:textFill>
        </w:rPr>
      </w:pPr>
      <w:bookmarkStart w:id="49" w:name="_Toc30358"/>
      <w:bookmarkStart w:id="50" w:name="_Toc15396609"/>
      <w:bookmarkStart w:id="51" w:name="_Toc15377215"/>
      <w:r>
        <w:rPr>
          <w:rFonts w:hint="eastAsia" w:ascii="Times New Roman" w:hAnsi="Times New Roman" w:eastAsia="黑体"/>
          <w:color w:val="000000" w:themeColor="text1"/>
          <w:sz w:val="32"/>
          <w:szCs w:val="32"/>
          <w:highlight w:val="none"/>
          <w14:textFill>
            <w14:solidFill>
              <w14:schemeClr w14:val="tx1"/>
            </w14:solidFill>
          </w14:textFill>
        </w:rPr>
        <w:t>七、</w:t>
      </w:r>
      <w:r>
        <w:rPr>
          <w:rStyle w:val="22"/>
          <w:rFonts w:hint="eastAsia" w:ascii="Times New Roman" w:hAnsi="Times New Roman" w:eastAsia="黑体"/>
          <w:b w:val="0"/>
          <w:color w:val="000000" w:themeColor="text1"/>
          <w:highlight w:val="none"/>
          <w14:textFill>
            <w14:solidFill>
              <w14:schemeClr w14:val="tx1"/>
            </w14:solidFill>
          </w14:textFill>
        </w:rPr>
        <w:t>财政拨款</w:t>
      </w:r>
      <w:r>
        <w:rPr>
          <w:rStyle w:val="22"/>
          <w:rFonts w:hint="eastAsia" w:ascii="Times New Roman" w:hAnsi="Times New Roman" w:eastAsia="黑体"/>
          <w:color w:val="000000" w:themeColor="text1"/>
          <w:highlight w:val="none"/>
          <w14:textFill>
            <w14:solidFill>
              <w14:schemeClr w14:val="tx1"/>
            </w14:solidFill>
          </w14:textFill>
        </w:rPr>
        <w:t>“</w:t>
      </w:r>
      <w:r>
        <w:rPr>
          <w:rStyle w:val="22"/>
          <w:rFonts w:hint="eastAsia" w:ascii="Times New Roman" w:hAnsi="Times New Roman" w:eastAsia="黑体"/>
          <w:b w:val="0"/>
          <w:color w:val="000000" w:themeColor="text1"/>
          <w:highlight w:val="none"/>
          <w14:textFill>
            <w14:solidFill>
              <w14:schemeClr w14:val="tx1"/>
            </w14:solidFill>
          </w14:textFill>
        </w:rPr>
        <w:t>三公”经费支出决算情况说明</w:t>
      </w:r>
      <w:bookmarkEnd w:id="49"/>
      <w:bookmarkEnd w:id="50"/>
      <w:bookmarkEnd w:id="51"/>
    </w:p>
    <w:p w14:paraId="58FF8B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 w:hAnsi="楷体" w:eastAsia="楷体" w:cs="楷体"/>
          <w:b w:val="0"/>
          <w:bCs/>
          <w:color w:val="000000" w:themeColor="text1"/>
          <w:sz w:val="32"/>
          <w:szCs w:val="32"/>
          <w:highlight w:val="none"/>
          <w14:textFill>
            <w14:solidFill>
              <w14:schemeClr w14:val="tx1"/>
            </w14:solidFill>
          </w14:textFill>
        </w:rPr>
      </w:pPr>
      <w:bookmarkStart w:id="52" w:name="_Toc15377216"/>
      <w:r>
        <w:rPr>
          <w:rFonts w:hint="eastAsia" w:ascii="楷体" w:hAnsi="楷体" w:eastAsia="楷体" w:cs="楷体"/>
          <w:b w:val="0"/>
          <w:bCs/>
          <w:color w:val="000000" w:themeColor="text1"/>
          <w:sz w:val="32"/>
          <w:szCs w:val="32"/>
          <w:highlight w:val="none"/>
          <w14:textFill>
            <w14:solidFill>
              <w14:schemeClr w14:val="tx1"/>
            </w14:solidFill>
          </w14:textFill>
        </w:rPr>
        <w:t>（一）“三公”经费财政拨款支出决算总体情况说明</w:t>
      </w:r>
      <w:bookmarkEnd w:id="52"/>
    </w:p>
    <w:p w14:paraId="49CAB72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2024年度“三公”经费财政拨款支出决算为7.45万元，完成预算100%，较上年度减少0.2万元，下降2.61%。决算数与预算数持平。</w:t>
      </w:r>
    </w:p>
    <w:p w14:paraId="0E7C24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 w:hAnsi="楷体" w:eastAsia="楷体" w:cs="楷体"/>
          <w:b w:val="0"/>
          <w:bCs/>
          <w:color w:val="000000" w:themeColor="text1"/>
          <w:sz w:val="32"/>
          <w:szCs w:val="32"/>
          <w:highlight w:val="none"/>
          <w14:textFill>
            <w14:solidFill>
              <w14:schemeClr w14:val="tx1"/>
            </w14:solidFill>
          </w14:textFill>
        </w:rPr>
      </w:pPr>
      <w:bookmarkStart w:id="53" w:name="_Toc15377217"/>
      <w:r>
        <w:rPr>
          <w:rFonts w:hint="eastAsia" w:ascii="楷体" w:hAnsi="楷体" w:eastAsia="楷体" w:cs="楷体"/>
          <w:b w:val="0"/>
          <w:bCs/>
          <w:color w:val="000000" w:themeColor="text1"/>
          <w:sz w:val="32"/>
          <w:szCs w:val="32"/>
          <w:highlight w:val="none"/>
          <w14:textFill>
            <w14:solidFill>
              <w14:schemeClr w14:val="tx1"/>
            </w14:solidFill>
          </w14:textFill>
        </w:rPr>
        <w:t>（二）“三公”经费财政拨款支出决算具体情况说明</w:t>
      </w:r>
      <w:bookmarkEnd w:id="53"/>
    </w:p>
    <w:p w14:paraId="45222AB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2024年度“三公”经费财政拨款支出决算中，公务用车购置及运行维护费支出决算</w:t>
      </w:r>
      <w:r>
        <w:rPr>
          <w:rFonts w:hint="eastAsia" w:ascii="仿宋" w:hAnsi="仿宋" w:eastAsia="仿宋" w:cs="仿宋"/>
          <w:color w:val="000000" w:themeColor="text1"/>
          <w:sz w:val="32"/>
          <w:szCs w:val="32"/>
          <w14:textFill>
            <w14:solidFill>
              <w14:schemeClr w14:val="tx1"/>
            </w14:solidFill>
          </w14:textFill>
        </w:rPr>
        <w:t>5.52</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万元，占74.09%；公务接待费支出决算</w:t>
      </w:r>
      <w:r>
        <w:rPr>
          <w:rFonts w:hint="eastAsia" w:ascii="仿宋" w:hAnsi="仿宋" w:eastAsia="仿宋" w:cs="仿宋"/>
          <w:color w:val="000000" w:themeColor="text1"/>
          <w:sz w:val="32"/>
          <w:szCs w:val="32"/>
          <w14:textFill>
            <w14:solidFill>
              <w14:schemeClr w14:val="tx1"/>
            </w14:solidFill>
          </w14:textFill>
        </w:rPr>
        <w:t>1.93</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万元，占25.91%。具体情况如下：</w:t>
      </w:r>
    </w:p>
    <w:p w14:paraId="24DCFBD8">
      <w:pPr>
        <w:pStyle w:val="13"/>
        <w:rPr>
          <w:rFonts w:hint="eastAsia"/>
          <w:color w:val="000000" w:themeColor="text1"/>
          <w:lang w:val="en-US" w:eastAsia="zh-CN"/>
          <w14:textFill>
            <w14:solidFill>
              <w14:schemeClr w14:val="tx1"/>
            </w14:solidFill>
          </w14:textFill>
        </w:rPr>
      </w:pPr>
      <w:r>
        <w:rPr>
          <w:color w:val="000000" w:themeColor="text1"/>
          <w14:textFill>
            <w14:solidFill>
              <w14:schemeClr w14:val="tx1"/>
            </w14:solidFill>
          </w14:textFill>
        </w:rPr>
        <w:drawing>
          <wp:inline distT="0" distB="0" distL="114300" distR="114300">
            <wp:extent cx="5271135" cy="3110865"/>
            <wp:effectExtent l="4445" t="4445" r="20320" b="889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98E3FA">
      <w:pPr>
        <w:keepNext w:val="0"/>
        <w:keepLines w:val="0"/>
        <w:pageBreakBefore w:val="0"/>
        <w:widowControl w:val="0"/>
        <w:kinsoku/>
        <w:wordWrap/>
        <w:overflowPunct/>
        <w:topLinePunct w:val="0"/>
        <w:autoSpaceDE/>
        <w:autoSpaceDN/>
        <w:bidi w:val="0"/>
        <w:adjustRightInd/>
        <w:snapToGrid/>
        <w:spacing w:before="157" w:beforeLines="50" w:line="560" w:lineRule="exact"/>
        <w:ind w:firstLine="641"/>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1.因公出国（境）经费支出0万元。年初未安排预算。因公出国（境）支出决算较2023年无变化。</w:t>
      </w:r>
    </w:p>
    <w:p w14:paraId="3FBAC75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2.公务用车购置及运行维护费支出5.52万元，完成预算100%。公务用车购置及运行维护费支出决算比2023年度减少1.24万元，下降18.34%。主要原因是严格执行厉行节约相关政策，压减“三公”经费。</w:t>
      </w:r>
    </w:p>
    <w:p w14:paraId="5023581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其中：公务用车购置支出0万元。全年未购置公务用车。截至2024年12月31日，单位共有公务用车1辆，其中：越野车1辆。</w:t>
      </w:r>
    </w:p>
    <w:p w14:paraId="704F582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公务用车运行维护费支出</w:t>
      </w:r>
      <w:r>
        <w:rPr>
          <w:rFonts w:hint="eastAsia" w:ascii="仿宋" w:hAnsi="仿宋" w:eastAsia="仿宋" w:cs="仿宋"/>
          <w:color w:val="000000" w:themeColor="text1"/>
          <w:sz w:val="32"/>
          <w:szCs w:val="32"/>
          <w14:textFill>
            <w14:solidFill>
              <w14:schemeClr w14:val="tx1"/>
            </w14:solidFill>
          </w14:textFill>
        </w:rPr>
        <w:t>5.52</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万元。主要用于专项统计业务、统计执法及第五次全国经济普查所需的公务用车燃料费、维修费、过路过桥费、保险费等支出。</w:t>
      </w:r>
    </w:p>
    <w:p w14:paraId="3277025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3.公务接待费支出1.93万元，完成预算100%。公务接待费支出决算比2023年度增加1.04万元，增长116.85%。主要原因是2024年开展五经普数据质量核查工作，公务接待增多。其中：</w:t>
      </w:r>
    </w:p>
    <w:p w14:paraId="1C7FF4D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国内公务接待支出1.93万元，主要用于日常统计业务和专项统计业务开支的用餐费等。国内公务接待19批次，120人次（不包括陪同人员），共计支出1.93万元，具体内容包括：日常统计事务接待1.76万元，专项统计业务接待</w:t>
      </w:r>
      <w:bookmarkStart w:id="54" w:name="_Toc15396610"/>
      <w:bookmarkStart w:id="55" w:name="_Toc15377218"/>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0.18万元。</w:t>
      </w:r>
    </w:p>
    <w:p w14:paraId="533C8CD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22"/>
          <w:rFonts w:ascii="Times New Roman" w:hAnsi="Times New Roman" w:eastAsia="黑体"/>
          <w:color w:val="000000" w:themeColor="text1"/>
          <w:highlight w:val="none"/>
          <w14:textFill>
            <w14:solidFill>
              <w14:schemeClr w14:val="tx1"/>
            </w14:solidFill>
          </w14:textFill>
        </w:rPr>
      </w:pPr>
      <w:bookmarkStart w:id="56" w:name="_Toc9476"/>
      <w:r>
        <w:rPr>
          <w:rFonts w:hint="eastAsia" w:ascii="Times New Roman" w:hAnsi="Times New Roman" w:eastAsia="黑体"/>
          <w:color w:val="000000" w:themeColor="text1"/>
          <w:sz w:val="32"/>
          <w:szCs w:val="32"/>
          <w:highlight w:val="none"/>
          <w14:textFill>
            <w14:solidFill>
              <w14:schemeClr w14:val="tx1"/>
            </w14:solidFill>
          </w14:textFill>
        </w:rPr>
        <w:t>八、</w:t>
      </w:r>
      <w:r>
        <w:rPr>
          <w:rStyle w:val="22"/>
          <w:rFonts w:hint="eastAsia" w:ascii="Times New Roman" w:hAnsi="Times New Roman" w:eastAsia="黑体"/>
          <w:b w:val="0"/>
          <w:color w:val="000000" w:themeColor="text1"/>
          <w:highlight w:val="none"/>
          <w14:textFill>
            <w14:solidFill>
              <w14:schemeClr w14:val="tx1"/>
            </w14:solidFill>
          </w14:textFill>
        </w:rPr>
        <w:t>政府性基金预算支出决算情况说明</w:t>
      </w:r>
      <w:bookmarkEnd w:id="54"/>
      <w:bookmarkEnd w:id="55"/>
      <w:bookmarkEnd w:id="56"/>
    </w:p>
    <w:p w14:paraId="0609189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2024年度政府性基金预算财政拨款支出0万元，占本年支出合计的0%。与2023年度相比，政府性基金预算财政拨款支出无变化。</w:t>
      </w:r>
    </w:p>
    <w:p w14:paraId="6ED8D1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outlineLvl w:val="1"/>
        <w:rPr>
          <w:rStyle w:val="22"/>
          <w:rFonts w:ascii="Times New Roman" w:hAnsi="Times New Roman" w:eastAsia="黑体"/>
          <w:b w:val="0"/>
          <w:color w:val="000000" w:themeColor="text1"/>
          <w:highlight w:val="none"/>
          <w14:textFill>
            <w14:solidFill>
              <w14:schemeClr w14:val="tx1"/>
            </w14:solidFill>
          </w14:textFill>
        </w:rPr>
      </w:pPr>
      <w:bookmarkStart w:id="57" w:name="_Toc15396611"/>
      <w:bookmarkStart w:id="58" w:name="_Toc15377219"/>
      <w:bookmarkStart w:id="59" w:name="_Toc10949"/>
      <w:r>
        <w:rPr>
          <w:rStyle w:val="22"/>
          <w:rFonts w:hint="eastAsia" w:ascii="Times New Roman" w:hAnsi="Times New Roman" w:eastAsia="黑体"/>
          <w:b w:val="0"/>
          <w:color w:val="000000" w:themeColor="text1"/>
          <w:highlight w:val="none"/>
          <w:lang w:eastAsia="zh-CN"/>
          <w14:textFill>
            <w14:solidFill>
              <w14:schemeClr w14:val="tx1"/>
            </w14:solidFill>
          </w14:textFill>
        </w:rPr>
        <w:t>九、</w:t>
      </w:r>
      <w:r>
        <w:rPr>
          <w:rStyle w:val="22"/>
          <w:rFonts w:hint="eastAsia" w:ascii="Times New Roman" w:hAnsi="Times New Roman" w:eastAsia="黑体"/>
          <w:b w:val="0"/>
          <w:color w:val="000000" w:themeColor="text1"/>
          <w:highlight w:val="none"/>
          <w14:textFill>
            <w14:solidFill>
              <w14:schemeClr w14:val="tx1"/>
            </w14:solidFill>
          </w14:textFill>
        </w:rPr>
        <w:t>国有资本经营预算支出决算情况说明</w:t>
      </w:r>
      <w:bookmarkEnd w:id="57"/>
      <w:bookmarkEnd w:id="58"/>
      <w:bookmarkEnd w:id="59"/>
    </w:p>
    <w:p w14:paraId="480B60D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2024年度国有资本经营预算财政拨款支出0万元，占本年支出合计的0%。与2023年度相比，国有资本经营预算财政拨款支出无变化。</w:t>
      </w:r>
    </w:p>
    <w:p w14:paraId="416C68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outlineLvl w:val="1"/>
        <w:rPr>
          <w:rStyle w:val="22"/>
          <w:rFonts w:hint="eastAsia" w:ascii="Times New Roman" w:hAnsi="Times New Roman" w:eastAsia="黑体"/>
          <w:b w:val="0"/>
          <w:color w:val="000000" w:themeColor="text1"/>
          <w:highlight w:val="none"/>
          <w14:textFill>
            <w14:solidFill>
              <w14:schemeClr w14:val="tx1"/>
            </w14:solidFill>
          </w14:textFill>
        </w:rPr>
      </w:pPr>
      <w:bookmarkStart w:id="60" w:name="_Toc31765"/>
      <w:bookmarkStart w:id="61" w:name="_Toc15396612"/>
      <w:bookmarkStart w:id="62" w:name="_Toc15377221"/>
      <w:r>
        <w:rPr>
          <w:rStyle w:val="22"/>
          <w:rFonts w:hint="eastAsia" w:ascii="Times New Roman" w:hAnsi="Times New Roman" w:eastAsia="黑体"/>
          <w:b w:val="0"/>
          <w:color w:val="000000" w:themeColor="text1"/>
          <w:highlight w:val="none"/>
          <w:lang w:eastAsia="zh-CN"/>
          <w14:textFill>
            <w14:solidFill>
              <w14:schemeClr w14:val="tx1"/>
            </w14:solidFill>
          </w14:textFill>
        </w:rPr>
        <w:t>十、</w:t>
      </w:r>
      <w:r>
        <w:rPr>
          <w:rStyle w:val="22"/>
          <w:rFonts w:hint="eastAsia" w:ascii="Times New Roman" w:hAnsi="Times New Roman" w:eastAsia="黑体"/>
          <w:b w:val="0"/>
          <w:color w:val="000000" w:themeColor="text1"/>
          <w:highlight w:val="none"/>
          <w14:textFill>
            <w14:solidFill>
              <w14:schemeClr w14:val="tx1"/>
            </w14:solidFill>
          </w14:textFill>
        </w:rPr>
        <w:t>其他重要事项的情况说明</w:t>
      </w:r>
      <w:bookmarkEnd w:id="60"/>
      <w:bookmarkEnd w:id="61"/>
      <w:bookmarkEnd w:id="62"/>
    </w:p>
    <w:p w14:paraId="173446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 w:hAnsi="楷体" w:eastAsia="楷体" w:cs="楷体"/>
          <w:b w:val="0"/>
          <w:bCs/>
          <w:color w:val="000000" w:themeColor="text1"/>
          <w:sz w:val="32"/>
          <w:szCs w:val="32"/>
          <w:highlight w:val="none"/>
          <w14:textFill>
            <w14:solidFill>
              <w14:schemeClr w14:val="tx1"/>
            </w14:solidFill>
          </w14:textFill>
        </w:rPr>
      </w:pPr>
      <w:bookmarkStart w:id="63" w:name="_Toc15377222"/>
      <w:r>
        <w:rPr>
          <w:rFonts w:hint="eastAsia" w:ascii="楷体" w:hAnsi="楷体" w:eastAsia="楷体" w:cs="楷体"/>
          <w:b w:val="0"/>
          <w:bCs/>
          <w:color w:val="000000" w:themeColor="text1"/>
          <w:sz w:val="32"/>
          <w:szCs w:val="32"/>
          <w:highlight w:val="none"/>
          <w14:textFill>
            <w14:solidFill>
              <w14:schemeClr w14:val="tx1"/>
            </w14:solidFill>
          </w14:textFill>
        </w:rPr>
        <w:t>（一）机关运行经费支出情况</w:t>
      </w:r>
      <w:bookmarkEnd w:id="63"/>
    </w:p>
    <w:p w14:paraId="5F05CC6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2024年度，广元市统计局机关运行经费支出95.62万元，比2023年度增加1.38万元，增长1.46%。主要原因是机关运行成本增加，相关的公用费用有小幅度增长。</w:t>
      </w:r>
    </w:p>
    <w:p w14:paraId="62C8E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 w:hAnsi="楷体" w:eastAsia="楷体" w:cs="楷体"/>
          <w:b w:val="0"/>
          <w:bCs/>
          <w:color w:val="000000" w:themeColor="text1"/>
          <w:sz w:val="32"/>
          <w:szCs w:val="32"/>
          <w:highlight w:val="none"/>
          <w14:textFill>
            <w14:solidFill>
              <w14:schemeClr w14:val="tx1"/>
            </w14:solidFill>
          </w14:textFill>
        </w:rPr>
      </w:pPr>
      <w:bookmarkStart w:id="64" w:name="_Toc15377223"/>
      <w:r>
        <w:rPr>
          <w:rFonts w:hint="eastAsia" w:ascii="楷体" w:hAnsi="楷体" w:eastAsia="楷体" w:cs="楷体"/>
          <w:b w:val="0"/>
          <w:bCs/>
          <w:color w:val="000000" w:themeColor="text1"/>
          <w:sz w:val="32"/>
          <w:szCs w:val="32"/>
          <w:highlight w:val="none"/>
          <w14:textFill>
            <w14:solidFill>
              <w14:schemeClr w14:val="tx1"/>
            </w14:solidFill>
          </w14:textFill>
        </w:rPr>
        <w:t>（二）政府采购支出情况</w:t>
      </w:r>
      <w:bookmarkEnd w:id="64"/>
    </w:p>
    <w:p w14:paraId="40CBD7B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2024年度，</w:t>
      </w:r>
      <w:r>
        <w:rPr>
          <w:rFonts w:hint="eastAsia" w:ascii="仿宋" w:hAnsi="仿宋" w:eastAsia="仿宋" w:cs="仿宋"/>
          <w:color w:val="000000" w:themeColor="text1"/>
          <w:sz w:val="32"/>
          <w:szCs w:val="32"/>
          <w14:textFill>
            <w14:solidFill>
              <w14:schemeClr w14:val="tx1"/>
            </w14:solidFill>
          </w14:textFill>
        </w:rPr>
        <w:t>广元市统计局</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政府采购支出总额</w:t>
      </w:r>
      <w:r>
        <w:rPr>
          <w:rFonts w:hint="eastAsia"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万元。</w:t>
      </w:r>
    </w:p>
    <w:p w14:paraId="7354D7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 w:hAnsi="楷体" w:eastAsia="楷体" w:cs="楷体"/>
          <w:b w:val="0"/>
          <w:bCs/>
          <w:color w:val="000000" w:themeColor="text1"/>
          <w:sz w:val="32"/>
          <w:szCs w:val="32"/>
          <w:highlight w:val="none"/>
          <w14:textFill>
            <w14:solidFill>
              <w14:schemeClr w14:val="tx1"/>
            </w14:solidFill>
          </w14:textFill>
        </w:rPr>
      </w:pPr>
      <w:bookmarkStart w:id="65" w:name="_Toc15377224"/>
      <w:r>
        <w:rPr>
          <w:rFonts w:hint="eastAsia" w:ascii="楷体" w:hAnsi="楷体" w:eastAsia="楷体" w:cs="楷体"/>
          <w:b w:val="0"/>
          <w:bCs/>
          <w:color w:val="000000" w:themeColor="text1"/>
          <w:sz w:val="32"/>
          <w:szCs w:val="32"/>
          <w:highlight w:val="none"/>
          <w14:textFill>
            <w14:solidFill>
              <w14:schemeClr w14:val="tx1"/>
            </w14:solidFill>
          </w14:textFill>
        </w:rPr>
        <w:t>（三）国有资产占有使用情况</w:t>
      </w:r>
      <w:bookmarkEnd w:id="65"/>
    </w:p>
    <w:p w14:paraId="09BB2C2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截至2024年12月31日，广元市统计局共有车辆1辆，其中：其他用车1辆，其他用车主要是用于开展专项统计业务相关的统计调查、数据核查、五经普等相关工作。单价100万元（含）以上设备（不含车辆）0台（套）。</w:t>
      </w:r>
    </w:p>
    <w:p w14:paraId="0CC71D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 w:hAnsi="楷体" w:eastAsia="楷体" w:cs="楷体"/>
          <w:b w:val="0"/>
          <w:bCs/>
          <w:color w:val="000000" w:themeColor="text1"/>
          <w:sz w:val="32"/>
          <w:szCs w:val="32"/>
          <w:highlight w:val="none"/>
          <w14:textFill>
            <w14:solidFill>
              <w14:schemeClr w14:val="tx1"/>
            </w14:solidFill>
          </w14:textFill>
        </w:rPr>
      </w:pPr>
      <w:r>
        <w:rPr>
          <w:rFonts w:hint="eastAsia" w:ascii="楷体" w:hAnsi="楷体" w:eastAsia="楷体" w:cs="楷体"/>
          <w:b w:val="0"/>
          <w:bCs/>
          <w:color w:val="000000" w:themeColor="text1"/>
          <w:sz w:val="32"/>
          <w:szCs w:val="32"/>
          <w:highlight w:val="none"/>
          <w14:textFill>
            <w14:solidFill>
              <w14:schemeClr w14:val="tx1"/>
            </w14:solidFill>
          </w14:textFill>
        </w:rPr>
        <w:t>（四）预算绩效管理情况</w:t>
      </w:r>
    </w:p>
    <w:p w14:paraId="49191A7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根据预算绩效管理要求，我局在2024年度预算编制阶段，组织对统计业务培训经费，统计数据、月报、季报、统计资料制作经费，统计等保测评信息化运维项目，统计调查专项经费，综合统计事务服务，乡村振兴工作经费，高层次人才安家及引进人才费，第五次全国经济普查项目等8个项目开展了预算事前绩效评估，对8个项目编制了绩效目标，预算执行过程中，对8个项目开展绩效监控。形成广元市统计局部门整体（含部门预算项目）绩效自评报告、高层次人才安家及引进人才费用绩效自评报告、第五次全国经济普查经费预算绩效自评报告等专项预算项目绩效自评报告。其中，广元市统计局部门整体（含部门预算项目）绩效自评得分为99.99分。绩效自评综述：我局以绩效目标实现为导向，进一步加强制度建设，提升自评质量，预算绩效管理取得新成效。一是抓好绩效目标编制，及时报送绩效目标；二是探索绩效跟踪监控，进一步加强过程监控；三是深入开展财政支出绩效评价，对专项资金实施绩效自评和项目核查，在此基础上形成自评报告；四是强化评价结果应用，组织绩效自评和绩效跟踪监控，对发现的问题及时改进，加强评价结果与项目资金安排的衔接；五是健全绩效管理工作机制，明确职责分工，努力提高了绩效管理工作水平。高层次人才安家及引进人才费用专项预算项目绩效自评得分为100分。绩效自评综述：</w:t>
      </w:r>
      <w:r>
        <w:rPr>
          <w:rFonts w:hint="eastAsia" w:ascii="仿宋" w:hAnsi="仿宋" w:eastAsia="仿宋" w:cs="仿宋"/>
          <w:color w:val="000000" w:themeColor="text1"/>
          <w:kern w:val="2"/>
          <w:sz w:val="32"/>
          <w:szCs w:val="32"/>
          <w:highlight w:val="none"/>
          <w:lang w:val="zh-CN" w:eastAsia="zh-CN" w:bidi="ar-SA"/>
          <w14:textFill>
            <w14:solidFill>
              <w14:schemeClr w14:val="tx1"/>
            </w14:solidFill>
          </w14:textFill>
        </w:rPr>
        <w:t>我局该项目预算执行到位，做到了财务公开、会计核算真实、规范，没有截留、挪用财政资金、擅自扩大或缩小资金使用范围、改变资金用途等现象，未在项目申报中弄虚作假，套取财政资金，保证了专项资金专款专用。安家费一次性补助到位，每月500 的生活补助随工资发放到位，年终指标冲回。</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第五次全国经济普查经费专项预算项目绩效自评得分为99分。绩效自评综述：我局该项目预算执行到位，做到了财务公开、会计核算真实、规范，没有截留、挪用财政资金、擅自扩大或缩小资金使用范围、改变资金用途等现象，未在项目申报中弄虚作假，套取财政资金，保证了专项资金专款专用。绩效自评报告详见附件。</w:t>
      </w:r>
      <w:bookmarkStart w:id="66" w:name="_Toc15377225"/>
      <w:bookmarkStart w:id="67" w:name="_Toc15396613"/>
    </w:p>
    <w:p w14:paraId="404B6BC2">
      <w:pPr>
        <w:pStyle w:val="2"/>
        <w:rPr>
          <w:rFonts w:hint="eastAsia"/>
          <w:lang w:val="en-US" w:eastAsia="zh-CN"/>
        </w:rPr>
      </w:pPr>
    </w:p>
    <w:p w14:paraId="03725493">
      <w:pPr>
        <w:pStyle w:val="2"/>
        <w:rPr>
          <w:rFonts w:hint="eastAsia"/>
          <w:lang w:val="en-US" w:eastAsia="zh-CN"/>
        </w:rPr>
      </w:pPr>
    </w:p>
    <w:p w14:paraId="04D97388">
      <w:pPr>
        <w:pStyle w:val="2"/>
        <w:rPr>
          <w:rFonts w:hint="eastAsia"/>
          <w:lang w:val="en-US" w:eastAsia="zh-CN"/>
        </w:rPr>
      </w:pPr>
    </w:p>
    <w:p w14:paraId="7EEE0443">
      <w:pPr>
        <w:pStyle w:val="2"/>
        <w:rPr>
          <w:rFonts w:hint="eastAsia"/>
          <w:lang w:val="en-US" w:eastAsia="zh-CN"/>
        </w:rPr>
      </w:pPr>
    </w:p>
    <w:p w14:paraId="5425BA71">
      <w:pPr>
        <w:pStyle w:val="2"/>
        <w:rPr>
          <w:rFonts w:hint="eastAsia"/>
          <w:lang w:val="en-US" w:eastAsia="zh-CN"/>
        </w:rPr>
      </w:pPr>
    </w:p>
    <w:p w14:paraId="03EB46EA">
      <w:pPr>
        <w:pStyle w:val="2"/>
        <w:rPr>
          <w:rFonts w:hint="eastAsia"/>
          <w:lang w:val="en-US" w:eastAsia="zh-CN"/>
        </w:rPr>
      </w:pPr>
    </w:p>
    <w:p w14:paraId="43E10CBD">
      <w:pPr>
        <w:pStyle w:val="2"/>
        <w:rPr>
          <w:rFonts w:hint="eastAsia"/>
          <w:lang w:val="en-US" w:eastAsia="zh-CN"/>
        </w:rPr>
      </w:pPr>
    </w:p>
    <w:p w14:paraId="1F4D0504">
      <w:pPr>
        <w:pStyle w:val="2"/>
        <w:rPr>
          <w:rFonts w:hint="eastAsia"/>
          <w:lang w:val="en-US" w:eastAsia="zh-CN"/>
        </w:rPr>
      </w:pPr>
    </w:p>
    <w:p w14:paraId="4661818D">
      <w:pPr>
        <w:pStyle w:val="2"/>
        <w:rPr>
          <w:rFonts w:hint="eastAsia"/>
          <w:lang w:val="en-US" w:eastAsia="zh-CN"/>
        </w:rPr>
      </w:pPr>
    </w:p>
    <w:p w14:paraId="5B3DD841">
      <w:pPr>
        <w:pStyle w:val="2"/>
        <w:rPr>
          <w:rFonts w:hint="eastAsia"/>
          <w:lang w:val="en-US" w:eastAsia="zh-CN"/>
        </w:rPr>
      </w:pPr>
    </w:p>
    <w:p w14:paraId="46CA012E">
      <w:pPr>
        <w:pStyle w:val="2"/>
        <w:rPr>
          <w:rFonts w:hint="eastAsia"/>
          <w:lang w:val="en-US" w:eastAsia="zh-CN"/>
        </w:rPr>
      </w:pPr>
    </w:p>
    <w:p w14:paraId="25655631">
      <w:pPr>
        <w:pStyle w:val="2"/>
        <w:rPr>
          <w:rFonts w:hint="eastAsia"/>
          <w:lang w:val="en-US" w:eastAsia="zh-CN"/>
        </w:rPr>
      </w:pPr>
    </w:p>
    <w:p w14:paraId="1A17F757">
      <w:pPr>
        <w:pStyle w:val="2"/>
        <w:rPr>
          <w:rFonts w:hint="eastAsia"/>
          <w:lang w:val="en-US" w:eastAsia="zh-CN"/>
        </w:rPr>
      </w:pPr>
    </w:p>
    <w:p w14:paraId="00D12EA5">
      <w:pPr>
        <w:pStyle w:val="2"/>
        <w:rPr>
          <w:rFonts w:hint="eastAsia"/>
          <w:lang w:val="en-US" w:eastAsia="zh-CN"/>
        </w:rPr>
      </w:pPr>
    </w:p>
    <w:p w14:paraId="4AF6708B">
      <w:pPr>
        <w:numPr>
          <w:ilvl w:val="0"/>
          <w:numId w:val="0"/>
        </w:numPr>
        <w:spacing w:line="600" w:lineRule="exact"/>
        <w:jc w:val="center"/>
        <w:outlineLvl w:val="0"/>
        <w:rPr>
          <w:rFonts w:hint="eastAsia" w:ascii="Times New Roman" w:hAnsi="Times New Roman" w:eastAsia="黑体"/>
          <w:color w:val="000000" w:themeColor="text1"/>
          <w:sz w:val="44"/>
          <w:szCs w:val="44"/>
          <w:highlight w:val="none"/>
          <w14:textFill>
            <w14:solidFill>
              <w14:schemeClr w14:val="tx1"/>
            </w14:solidFill>
          </w14:textFill>
        </w:rPr>
      </w:pPr>
      <w:bookmarkStart w:id="68" w:name="_Toc24413"/>
      <w:r>
        <w:rPr>
          <w:rFonts w:hint="eastAsia" w:ascii="Times New Roman" w:hAnsi="Times New Roman" w:eastAsia="黑体"/>
          <w:color w:val="000000" w:themeColor="text1"/>
          <w:sz w:val="44"/>
          <w:szCs w:val="44"/>
          <w:highlight w:val="none"/>
          <w14:textFill>
            <w14:solidFill>
              <w14:schemeClr w14:val="tx1"/>
            </w14:solidFill>
          </w14:textFill>
        </w:rPr>
        <w:t>第</w:t>
      </w:r>
      <w:r>
        <w:rPr>
          <w:rFonts w:hint="eastAsia" w:eastAsia="黑体"/>
          <w:color w:val="000000" w:themeColor="text1"/>
          <w:sz w:val="44"/>
          <w:szCs w:val="44"/>
          <w:highlight w:val="none"/>
          <w:lang w:eastAsia="zh-CN"/>
          <w14:textFill>
            <w14:solidFill>
              <w14:schemeClr w14:val="tx1"/>
            </w14:solidFill>
          </w14:textFill>
        </w:rPr>
        <w:t>三</w:t>
      </w:r>
      <w:r>
        <w:rPr>
          <w:rFonts w:hint="eastAsia" w:ascii="Times New Roman" w:hAnsi="Times New Roman" w:eastAsia="黑体"/>
          <w:color w:val="000000" w:themeColor="text1"/>
          <w:sz w:val="44"/>
          <w:szCs w:val="44"/>
          <w:highlight w:val="none"/>
          <w14:textFill>
            <w14:solidFill>
              <w14:schemeClr w14:val="tx1"/>
            </w14:solidFill>
          </w14:textFill>
        </w:rPr>
        <w:t>部分</w:t>
      </w:r>
      <w:r>
        <w:rPr>
          <w:rFonts w:hint="eastAsia" w:ascii="Times New Roman" w:hAnsi="Times New Roman" w:eastAsia="黑体"/>
          <w:color w:val="000000" w:themeColor="text1"/>
          <w:sz w:val="44"/>
          <w:szCs w:val="44"/>
          <w:highlight w:val="none"/>
          <w:lang w:val="en-US" w:eastAsia="zh-CN"/>
          <w14:textFill>
            <w14:solidFill>
              <w14:schemeClr w14:val="tx1"/>
            </w14:solidFill>
          </w14:textFill>
        </w:rPr>
        <w:t xml:space="preserve"> </w:t>
      </w:r>
      <w:r>
        <w:rPr>
          <w:rFonts w:hint="eastAsia" w:eastAsia="黑体"/>
          <w:color w:val="000000" w:themeColor="text1"/>
          <w:sz w:val="44"/>
          <w:szCs w:val="44"/>
          <w:highlight w:val="none"/>
          <w:lang w:val="en-US" w:eastAsia="zh-CN"/>
          <w14:textFill>
            <w14:solidFill>
              <w14:schemeClr w14:val="tx1"/>
            </w14:solidFill>
          </w14:textFill>
        </w:rPr>
        <w:t xml:space="preserve"> </w:t>
      </w:r>
      <w:r>
        <w:rPr>
          <w:rFonts w:hint="eastAsia" w:ascii="Times New Roman" w:hAnsi="Times New Roman" w:eastAsia="黑体"/>
          <w:color w:val="000000" w:themeColor="text1"/>
          <w:sz w:val="44"/>
          <w:szCs w:val="44"/>
          <w:highlight w:val="none"/>
          <w14:textFill>
            <w14:solidFill>
              <w14:schemeClr w14:val="tx1"/>
            </w14:solidFill>
          </w14:textFill>
        </w:rPr>
        <w:t>名词解释</w:t>
      </w:r>
      <w:bookmarkEnd w:id="66"/>
      <w:bookmarkEnd w:id="67"/>
      <w:bookmarkEnd w:id="68"/>
    </w:p>
    <w:p w14:paraId="574F68E9">
      <w:pPr>
        <w:spacing w:line="600" w:lineRule="exact"/>
        <w:jc w:val="left"/>
        <w:rPr>
          <w:rFonts w:ascii="Times New Roman" w:hAnsi="Times New Roman"/>
          <w:b/>
          <w:color w:val="000000" w:themeColor="text1"/>
          <w:sz w:val="44"/>
          <w:szCs w:val="44"/>
          <w:highlight w:val="none"/>
          <w14:textFill>
            <w14:solidFill>
              <w14:schemeClr w14:val="tx1"/>
            </w14:solidFill>
          </w14:textFill>
        </w:rPr>
      </w:pPr>
    </w:p>
    <w:p w14:paraId="4F21D650">
      <w:pPr>
        <w:pStyle w:val="30"/>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1" w:firstLineChars="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bookmarkStart w:id="69" w:name="_Toc15377226"/>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财政拨款收入：指单位从同级财政部门取得的财政预算资金。</w:t>
      </w:r>
    </w:p>
    <w:p w14:paraId="08E312C6">
      <w:pPr>
        <w:pStyle w:val="30"/>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1" w:firstLineChars="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年初结转和结余：指以前年度尚未完成、结转到本年按有关规定继续使用的资金。</w:t>
      </w:r>
    </w:p>
    <w:p w14:paraId="547AA664">
      <w:pPr>
        <w:pStyle w:val="30"/>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1" w:firstLineChars="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年末结转和结余：指单位按有关规定结转到下年或以后年度继续使用的资金。</w:t>
      </w:r>
    </w:p>
    <w:p w14:paraId="19F87E5F">
      <w:pPr>
        <w:pStyle w:val="30"/>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1" w:firstLineChars="0"/>
        <w:jc w:val="both"/>
        <w:textAlignment w:val="auto"/>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t>一般公共服务（类）统计信息事务（款）行政运行（项）：指广元市</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统计</w:t>
      </w:r>
      <w:r>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t>部门基本支出。</w:t>
      </w:r>
    </w:p>
    <w:p w14:paraId="0F6DCFE7">
      <w:pPr>
        <w:pStyle w:val="30"/>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1" w:firstLineChars="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t>一般公共服务（类）统计信息事务（款）一般行政管理事务（项）</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：指单位未单独设置项级科目的其他项目支出。</w:t>
      </w:r>
    </w:p>
    <w:p w14:paraId="117D17B4">
      <w:pPr>
        <w:pStyle w:val="30"/>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1" w:firstLineChars="0"/>
        <w:jc w:val="both"/>
        <w:textAlignment w:val="auto"/>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t>一般公共服务（类）统计信息事务（款）专项统计业务（项）：反映广元市</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统计</w:t>
      </w:r>
      <w:r>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t>部门日常业务之外开展专项统计工作的支出。</w:t>
      </w:r>
    </w:p>
    <w:p w14:paraId="47192DF3">
      <w:pPr>
        <w:pStyle w:val="30"/>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1" w:firstLineChars="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t>一般公共服务（类）统计信息事务（款）事业运行（项）：</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指广元市统计部门下属事业单位的基本支出。</w:t>
      </w:r>
    </w:p>
    <w:p w14:paraId="26E40257">
      <w:pPr>
        <w:pStyle w:val="30"/>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1" w:firstLineChars="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社会保障和就业（类）人力资源和社会保障管理事务（款）引进人才费用（项）：反映广元市统计部门引进人才发生的相关支出。</w:t>
      </w:r>
    </w:p>
    <w:p w14:paraId="0C71767D">
      <w:pPr>
        <w:pStyle w:val="30"/>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1" w:firstLineChars="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社会保障和就业（类）行政事业单位养老支出（款）行政单位离退休（项）：指</w:t>
      </w:r>
      <w:r>
        <w:rPr>
          <w:rFonts w:hint="eastAsia" w:hAnsi="仿宋" w:cs="仿宋"/>
          <w:color w:val="000000" w:themeColor="text1"/>
          <w:kern w:val="2"/>
          <w:sz w:val="32"/>
          <w:szCs w:val="32"/>
          <w:highlight w:val="none"/>
          <w:lang w:val="en-US" w:eastAsia="zh-CN" w:bidi="ar-SA"/>
          <w14:textFill>
            <w14:solidFill>
              <w14:schemeClr w14:val="tx1"/>
            </w14:solidFill>
          </w14:textFill>
        </w:rPr>
        <w:t>广元</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市统计部门用于离退休人员的相关费用。</w:t>
      </w:r>
    </w:p>
    <w:p w14:paraId="54DEB004">
      <w:pPr>
        <w:pStyle w:val="30"/>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1" w:firstLineChars="0"/>
        <w:jc w:val="both"/>
        <w:textAlignment w:val="auto"/>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t>社会保障和就业（类）行政事业单位养老支出（款）机关事业单位基本养老保险缴费支出（项）：指广元市</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统计</w:t>
      </w:r>
      <w:r>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t>部门用于实施养老保险制度由单位缴纳的基本养老保险费支出。</w:t>
      </w:r>
    </w:p>
    <w:p w14:paraId="1B210A0B">
      <w:pPr>
        <w:pStyle w:val="30"/>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1" w:firstLineChars="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社会保障和就业（类）行政事业单位养老支出（款）机关事业单位职业年金缴费支出（项）：指广元市统计部门用于实施养老保险制度由单位实际交纳的职业年金支出。</w:t>
      </w:r>
    </w:p>
    <w:p w14:paraId="0D0DFCE5">
      <w:pPr>
        <w:pStyle w:val="30"/>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1" w:firstLineChars="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社会保障和就业（类）抚恤（款）死亡抚恤（项）：指广元市统计部门按规定用于病故职工家属的一次性抚恤金、丧葬补助费等。</w:t>
      </w:r>
    </w:p>
    <w:p w14:paraId="728F292E">
      <w:pPr>
        <w:pStyle w:val="30"/>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1" w:firstLineChars="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社会保障和就业（类）其他社会保障和就业支出（款）其他社会保障和就业支出（项）：指广元市统计部门用于实施其他社会保险制度由单位缴纳的其他社会保险支出。</w:t>
      </w:r>
    </w:p>
    <w:p w14:paraId="43D316DC">
      <w:pPr>
        <w:pStyle w:val="30"/>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1" w:firstLineChars="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卫生健康（类）行政事业单位医疗（款）行政单位医疗（项）</w:t>
      </w:r>
      <w:r>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t>：指财政部门集中安排的行政单位基本医疗保险缴费经费，未参加医疗保险的行政单位的公费医疗经费，按国家规定享</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受离休人员、红军老战士待遇人员的医疗经费。</w:t>
      </w:r>
    </w:p>
    <w:p w14:paraId="3A911B73">
      <w:pPr>
        <w:pStyle w:val="30"/>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1" w:firstLineChars="0"/>
        <w:jc w:val="both"/>
        <w:textAlignment w:val="auto"/>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t>住房保障支出（类）住房改革支出（款）住房公积金（项）：指广元市</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统计</w:t>
      </w:r>
      <w:r>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t xml:space="preserve">部门用于按规定的工资基数以及规定比例为职工缴纳的住房公积金。 </w:t>
      </w:r>
    </w:p>
    <w:p w14:paraId="57897DBA">
      <w:pPr>
        <w:pStyle w:val="30"/>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1" w:firstLineChars="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基本支出：指为保障机构正常运转、完成日常工作任务而发生的人员支出和公用支出。</w:t>
      </w:r>
    </w:p>
    <w:p w14:paraId="0C9DAC33">
      <w:pPr>
        <w:pStyle w:val="30"/>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1" w:firstLineChars="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 xml:space="preserve">项目支出：指在基本支出之外为完成各项统计专项业务和各类大型普查活动等相关工作而发生的支出。 </w:t>
      </w:r>
    </w:p>
    <w:p w14:paraId="24EAA0C1">
      <w:pPr>
        <w:pStyle w:val="30"/>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1" w:firstLineChars="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“三公”经费：指部门用财政拨款安排的因公出国（境）费用、公务用车运行维护费和公务接待费。其中，我</w:t>
      </w:r>
      <w:r>
        <w:rPr>
          <w:rFonts w:hint="eastAsia" w:hAnsi="仿宋" w:cs="仿宋"/>
          <w:color w:val="000000" w:themeColor="text1"/>
          <w:kern w:val="2"/>
          <w:sz w:val="32"/>
          <w:szCs w:val="32"/>
          <w:highlight w:val="none"/>
          <w:lang w:val="en-US" w:eastAsia="zh-CN" w:bidi="ar-SA"/>
          <w14:textFill>
            <w14:solidFill>
              <w14:schemeClr w14:val="tx1"/>
            </w14:solidFill>
          </w14:textFill>
        </w:rPr>
        <w:t>局</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不涉及因公出国（境）费用；公务用车运行维护费反映单位留存的公务用车车辆燃料费、维修费、过路过桥费、保险费等支出；公务接待费反映单位按规定开支的各类公务接待支出。</w:t>
      </w:r>
    </w:p>
    <w:p w14:paraId="23CD2B60">
      <w:pPr>
        <w:keepNext w:val="0"/>
        <w:keepLines w:val="0"/>
        <w:pageBreakBefore w:val="0"/>
        <w:widowControl w:val="0"/>
        <w:numPr>
          <w:ilvl w:val="0"/>
          <w:numId w:val="3"/>
        </w:numPr>
        <w:kinsoku/>
        <w:wordWrap/>
        <w:overflowPunct/>
        <w:topLinePunct w:val="0"/>
        <w:bidi w:val="0"/>
        <w:snapToGrid/>
        <w:spacing w:line="560" w:lineRule="exact"/>
        <w:ind w:left="0" w:leftChars="0" w:firstLine="641" w:firstLineChars="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机关运行经费：为保障行政单位（含参照公务员法管理的事业单位）运行用于购买货物和服务的各项资金，包括办公及印刷费、邮电费、差旅费、会议费、福利费、日常维修费、办公用房水电费、公务用车运行维护费以及其他费用。</w:t>
      </w:r>
    </w:p>
    <w:p w14:paraId="4884D72F">
      <w:pPr>
        <w:pStyle w:val="3"/>
        <w:pageBreakBefore w:val="0"/>
        <w:widowControl w:val="0"/>
        <w:kinsoku/>
        <w:wordWrap/>
        <w:overflowPunct/>
        <w:topLinePunct w:val="0"/>
        <w:bidi w:val="0"/>
        <w:snapToGrid/>
        <w:spacing w:before="0" w:after="0" w:line="560" w:lineRule="exact"/>
        <w:jc w:val="center"/>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br w:type="page"/>
      </w:r>
      <w:bookmarkStart w:id="70" w:name="_Toc15396614"/>
      <w:bookmarkStart w:id="71" w:name="_Toc29454"/>
    </w:p>
    <w:p w14:paraId="0C6B673B">
      <w:pPr>
        <w:pStyle w:val="3"/>
        <w:pageBreakBefore w:val="0"/>
        <w:widowControl w:val="0"/>
        <w:kinsoku/>
        <w:wordWrap/>
        <w:overflowPunct/>
        <w:topLinePunct w:val="0"/>
        <w:bidi w:val="0"/>
        <w:snapToGrid/>
        <w:spacing w:before="0" w:after="0" w:line="560" w:lineRule="exact"/>
        <w:jc w:val="center"/>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p>
    <w:p w14:paraId="212AD815">
      <w:pPr>
        <w:pStyle w:val="3"/>
        <w:pageBreakBefore w:val="0"/>
        <w:widowControl w:val="0"/>
        <w:kinsoku/>
        <w:wordWrap/>
        <w:overflowPunct/>
        <w:topLinePunct w:val="0"/>
        <w:bidi w:val="0"/>
        <w:snapToGrid/>
        <w:spacing w:before="0" w:after="0" w:line="560" w:lineRule="exact"/>
        <w:jc w:val="center"/>
        <w:textAlignment w:val="auto"/>
        <w:rPr>
          <w:rStyle w:val="21"/>
          <w:rFonts w:hint="eastAsia" w:ascii="Times New Roman" w:hAnsi="Times New Roman" w:eastAsia="黑体"/>
          <w:b w:val="0"/>
          <w:bCs w:val="0"/>
          <w:color w:val="000000" w:themeColor="text1"/>
          <w:highlight w:val="none"/>
          <w:lang w:eastAsia="zh-CN"/>
          <w14:textFill>
            <w14:solidFill>
              <w14:schemeClr w14:val="tx1"/>
            </w14:solidFill>
          </w14:textFill>
        </w:rPr>
      </w:pPr>
      <w:r>
        <w:rPr>
          <w:rFonts w:hint="eastAsia" w:ascii="Times New Roman" w:hAnsi="Times New Roman" w:eastAsia="黑体"/>
          <w:b w:val="0"/>
          <w:bCs w:val="0"/>
          <w:color w:val="000000" w:themeColor="text1"/>
          <w:sz w:val="44"/>
          <w:szCs w:val="44"/>
          <w:highlight w:val="none"/>
          <w14:textFill>
            <w14:solidFill>
              <w14:schemeClr w14:val="tx1"/>
            </w14:solidFill>
          </w14:textFill>
        </w:rPr>
        <w:t>第四部分</w:t>
      </w:r>
      <w:r>
        <w:rPr>
          <w:rFonts w:hint="eastAsia" w:ascii="Times New Roman" w:hAnsi="Times New Roman" w:eastAsia="黑体"/>
          <w:b w:val="0"/>
          <w:bCs w:val="0"/>
          <w:color w:val="000000" w:themeColor="text1"/>
          <w:sz w:val="44"/>
          <w:szCs w:val="44"/>
          <w:highlight w:val="none"/>
          <w:lang w:val="en-US" w:eastAsia="zh-CN"/>
          <w14:textFill>
            <w14:solidFill>
              <w14:schemeClr w14:val="tx1"/>
            </w14:solidFill>
          </w14:textFill>
        </w:rPr>
        <w:t xml:space="preserve"> </w:t>
      </w:r>
      <w:r>
        <w:rPr>
          <w:rFonts w:hint="eastAsia" w:ascii="Times New Roman" w:hAnsi="Times New Roman" w:eastAsia="黑体"/>
          <w:b w:val="0"/>
          <w:bCs w:val="0"/>
          <w:color w:val="000000" w:themeColor="text1"/>
          <w:sz w:val="44"/>
          <w:szCs w:val="44"/>
          <w:highlight w:val="none"/>
          <w14:textFill>
            <w14:solidFill>
              <w14:schemeClr w14:val="tx1"/>
            </w14:solidFill>
          </w14:textFill>
        </w:rPr>
        <w:t xml:space="preserve"> 附件</w:t>
      </w:r>
      <w:bookmarkEnd w:id="70"/>
      <w:bookmarkEnd w:id="71"/>
    </w:p>
    <w:p w14:paraId="41E10032">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b w:val="0"/>
          <w:bCs w:val="0"/>
          <w:color w:val="000000" w:themeColor="text1"/>
          <w:sz w:val="32"/>
          <w:szCs w:val="32"/>
          <w:highlight w:val="none"/>
          <w14:textFill>
            <w14:solidFill>
              <w14:schemeClr w14:val="tx1"/>
            </w14:solidFill>
          </w14:textFill>
        </w:rPr>
      </w:pPr>
    </w:p>
    <w:p w14:paraId="20152359">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72" w:name="_Toc30156"/>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1</w:t>
      </w:r>
      <w:bookmarkEnd w:id="72"/>
    </w:p>
    <w:p w14:paraId="7E4EE0E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val="0"/>
          <w:color w:val="000000" w:themeColor="text1"/>
          <w:sz w:val="44"/>
          <w:szCs w:val="44"/>
          <w:highlight w:val="none"/>
          <w:shd w:val="clear" w:color="auto" w:fill="FFFFFF"/>
          <w14:textFill>
            <w14:solidFill>
              <w14:schemeClr w14:val="tx1"/>
            </w14:solidFill>
          </w14:textFill>
        </w:rPr>
      </w:pPr>
    </w:p>
    <w:p w14:paraId="0185174A">
      <w:pPr>
        <w:keepNext w:val="0"/>
        <w:keepLines w:val="0"/>
        <w:pageBreakBefore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广元市统计局</w:t>
      </w:r>
    </w:p>
    <w:p w14:paraId="38F5B41D">
      <w:pPr>
        <w:keepNext w:val="0"/>
        <w:keepLines w:val="0"/>
        <w:pageBreakBefore w:val="0"/>
        <w:widowControl/>
        <w:kinsoku/>
        <w:wordWrap/>
        <w:overflowPunct/>
        <w:topLinePunct w:val="0"/>
        <w:autoSpaceDE/>
        <w:autoSpaceDN/>
        <w:bidi w:val="0"/>
        <w:adjustRightInd/>
        <w:snapToGrid/>
        <w:spacing w:line="740" w:lineRule="exact"/>
        <w:contextualSpacing/>
        <w:jc w:val="center"/>
        <w:textAlignment w:val="auto"/>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2024年市级部门预算绩效自评报告</w:t>
      </w:r>
    </w:p>
    <w:p w14:paraId="197E790D">
      <w:pPr>
        <w:pStyle w:val="2"/>
        <w:rPr>
          <w:rFonts w:hint="eastAsia"/>
        </w:rPr>
      </w:pPr>
    </w:p>
    <w:p w14:paraId="090444CF">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ascii="黑体" w:hAnsi="黑体" w:eastAsia="黑体" w:cs="黑体"/>
          <w:b w:val="0"/>
          <w:bCs w:val="0"/>
          <w:kern w:val="0"/>
          <w:sz w:val="32"/>
          <w:szCs w:val="32"/>
        </w:rPr>
      </w:pPr>
      <w:r>
        <w:rPr>
          <w:rFonts w:hint="eastAsia" w:ascii="黑体" w:hAnsi="黑体" w:eastAsia="黑体" w:cs="黑体"/>
          <w:b w:val="0"/>
          <w:bCs w:val="0"/>
          <w:kern w:val="0"/>
          <w:sz w:val="32"/>
          <w:szCs w:val="32"/>
        </w:rPr>
        <w:t>部门（单位）基本情况</w:t>
      </w:r>
    </w:p>
    <w:p w14:paraId="7294522C">
      <w:pPr>
        <w:keepNext w:val="0"/>
        <w:keepLines w:val="0"/>
        <w:pageBreakBefore w:val="0"/>
        <w:kinsoku/>
        <w:wordWrap/>
        <w:overflowPunct/>
        <w:topLinePunct w:val="0"/>
        <w:autoSpaceDE/>
        <w:autoSpaceDN/>
        <w:bidi w:val="0"/>
        <w:spacing w:line="560" w:lineRule="exact"/>
        <w:ind w:firstLine="627" w:firstLineChars="196"/>
        <w:jc w:val="both"/>
        <w:textAlignment w:val="auto"/>
        <w:rPr>
          <w:rFonts w:ascii="仿宋" w:hAnsi="仿宋" w:eastAsia="仿宋" w:cs="仿宋"/>
          <w:sz w:val="32"/>
          <w:szCs w:val="32"/>
        </w:rPr>
      </w:pPr>
      <w:r>
        <w:rPr>
          <w:rFonts w:hint="eastAsia" w:ascii="楷体" w:hAnsi="楷体" w:eastAsia="楷体" w:cs="楷体"/>
          <w:kern w:val="0"/>
          <w:sz w:val="32"/>
          <w:szCs w:val="32"/>
        </w:rPr>
        <w:t>（一）机构组成。</w:t>
      </w:r>
      <w:r>
        <w:rPr>
          <w:rFonts w:hint="eastAsia" w:ascii="仿宋" w:hAnsi="仿宋" w:eastAsia="仿宋" w:cs="仿宋"/>
          <w:sz w:val="32"/>
          <w:szCs w:val="32"/>
        </w:rPr>
        <w:t>广元市统计局是一级预算单位，无独立核算的二级预算单位，下属一个参公单位广元市普查中心，一个全额拨款事业单位广元市统计大数据管理与社情民意调查中心。</w:t>
      </w:r>
    </w:p>
    <w:p w14:paraId="7C2A7294">
      <w:pPr>
        <w:keepNext w:val="0"/>
        <w:keepLines w:val="0"/>
        <w:pageBreakBefore w:val="0"/>
        <w:kinsoku/>
        <w:wordWrap/>
        <w:overflowPunct/>
        <w:topLinePunct w:val="0"/>
        <w:autoSpaceDE/>
        <w:autoSpaceDN/>
        <w:bidi w:val="0"/>
        <w:spacing w:line="560" w:lineRule="exact"/>
        <w:jc w:val="both"/>
        <w:textAlignment w:val="auto"/>
        <w:rPr>
          <w:rFonts w:ascii="仿宋" w:hAnsi="仿宋" w:eastAsia="仿宋" w:cs="仿宋"/>
          <w:sz w:val="32"/>
          <w:szCs w:val="32"/>
        </w:rPr>
      </w:pPr>
      <w:r>
        <w:rPr>
          <w:rFonts w:hint="eastAsia" w:ascii="楷体" w:hAnsi="楷体" w:eastAsia="楷体" w:cs="楷体"/>
          <w:sz w:val="32"/>
          <w:szCs w:val="32"/>
        </w:rPr>
        <w:t xml:space="preserve">    （二）机构职能。</w:t>
      </w:r>
      <w:r>
        <w:rPr>
          <w:rFonts w:hint="eastAsia" w:ascii="仿宋" w:hAnsi="仿宋" w:eastAsia="仿宋" w:cs="仿宋"/>
          <w:sz w:val="32"/>
          <w:szCs w:val="32"/>
        </w:rPr>
        <w:t>一是贯彻执行国家、省统计工作的方针、政策和法律、法规以及统计制度、统计标准，起草地方统计规章草案，制订全市统计规划以及地方统计制度、统计标准，审批县区、市直部门的地方统计调查项目以及涉外统计调查机构和项目，组织领导和协调全市统计工作，确保统计数据真实、准确、及时。二是建立健全全市国民经济核算体系，组织实施全市国民经济核算制度，核算全市地区生产总值，整理提供国民经济核算资料，开展分析研究，指导、监督县区国民经济核算工作。三是组织实施农林牧渔业、工业、建筑业、批发和零售业、住宿和餐饮业、房地产业等国民经济行业以及能源、投资、人口、收入、科技、社会发展基本情况、环境基本状况等领域的统计调查，建立全市经济社会发展监测评价制度及指标体系，对重点区域和重要领域实施监测评价，牵头综合整理和提供资源、房屋、旅游、教育、卫生、邮电、交通运输、社会保障、公用事业、对外贸易、对外经济等全市基本统计资料。四是组织实施人口、经济、农业等普查和重大国情国力专项调查，组织实施全市投入产出调查。五是建立健全全市统计数据质量审核、监控和评估制度，依法对县区、市直部门重要统计数据进行审核、监控和评估，组织指导统计基层基础建设。六是对国民经济、社会发展、科技进步和资源环境等情况进行统计分析和预测，定期发布全市经济社会发展情况的统计信息，向市委、市政府及有关部门提供统计咨询建议，向社会公众提供统计信息服务。七是协助管理县区统计局正副局长，会同有关部门组织管理全市统计专业资格考试、职务评聘，指导全市统计专业人才队伍建设，开展统计交流与合作。八是组织制订县区、市直部门统计数据库和网络的基本标准和运行规则，建立健全全市统计数据库系统和统计信息自动化系统，建立健全市直部门统计信息共享制度，指导地方统计信息化建设。九是承担市政府公布的有关审批事项。十是承办市政府交办的其他事项。</w:t>
      </w:r>
    </w:p>
    <w:p w14:paraId="38C8CE9D">
      <w:pPr>
        <w:pStyle w:val="15"/>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楷体" w:hAnsi="楷体" w:eastAsia="楷体" w:cs="楷体"/>
          <w:sz w:val="32"/>
          <w:szCs w:val="32"/>
          <w:shd w:val="clear" w:color="auto" w:fill="FFFFFF"/>
          <w:lang w:val="zh-CN"/>
        </w:rPr>
        <w:t>（三）人员概况。</w:t>
      </w:r>
      <w:r>
        <w:rPr>
          <w:rFonts w:hint="eastAsia" w:ascii="仿宋" w:hAnsi="仿宋" w:eastAsia="仿宋" w:cs="仿宋"/>
          <w:sz w:val="32"/>
          <w:szCs w:val="32"/>
        </w:rPr>
        <w:t>2024年市统计局总编制44个，其中:行政编制2</w:t>
      </w:r>
      <w:r>
        <w:rPr>
          <w:rFonts w:hint="eastAsia" w:ascii="仿宋" w:hAnsi="仿宋" w:eastAsia="仿宋" w:cs="仿宋"/>
          <w:sz w:val="32"/>
          <w:szCs w:val="32"/>
          <w:lang w:val="en-US" w:eastAsia="zh-CN"/>
        </w:rPr>
        <w:t>0</w:t>
      </w:r>
      <w:r>
        <w:rPr>
          <w:rFonts w:hint="eastAsia" w:ascii="仿宋" w:hAnsi="仿宋" w:eastAsia="仿宋" w:cs="仿宋"/>
          <w:sz w:val="32"/>
          <w:szCs w:val="32"/>
        </w:rPr>
        <w:t>个，参公编制</w:t>
      </w:r>
      <w:r>
        <w:rPr>
          <w:rFonts w:hint="eastAsia" w:ascii="仿宋" w:hAnsi="仿宋" w:eastAsia="仿宋" w:cs="仿宋"/>
          <w:sz w:val="32"/>
          <w:szCs w:val="32"/>
          <w:lang w:val="en-US" w:eastAsia="zh-CN"/>
        </w:rPr>
        <w:t>7</w:t>
      </w:r>
      <w:r>
        <w:rPr>
          <w:rFonts w:hint="eastAsia" w:ascii="仿宋" w:hAnsi="仿宋" w:eastAsia="仿宋" w:cs="仿宋"/>
          <w:sz w:val="32"/>
          <w:szCs w:val="32"/>
        </w:rPr>
        <w:t>个，事业编制15个，工勤编制2个。在职</w:t>
      </w:r>
      <w:r>
        <w:rPr>
          <w:rFonts w:hint="eastAsia" w:ascii="仿宋" w:hAnsi="仿宋" w:eastAsia="仿宋" w:cs="仿宋"/>
          <w:sz w:val="32"/>
          <w:szCs w:val="32"/>
          <w:lang w:eastAsia="zh-CN"/>
        </w:rPr>
        <w:t>在编</w:t>
      </w:r>
      <w:r>
        <w:rPr>
          <w:rFonts w:hint="eastAsia" w:ascii="仿宋" w:hAnsi="仿宋" w:eastAsia="仿宋" w:cs="仿宋"/>
          <w:sz w:val="32"/>
          <w:szCs w:val="32"/>
        </w:rPr>
        <w:t>人员</w:t>
      </w:r>
      <w:r>
        <w:rPr>
          <w:rFonts w:hint="eastAsia" w:ascii="仿宋" w:hAnsi="仿宋" w:eastAsia="仿宋" w:cs="仿宋"/>
          <w:sz w:val="32"/>
          <w:szCs w:val="32"/>
          <w:lang w:val="en-US" w:eastAsia="zh-CN"/>
        </w:rPr>
        <w:t>43</w:t>
      </w:r>
      <w:r>
        <w:rPr>
          <w:rFonts w:hint="eastAsia" w:ascii="仿宋" w:hAnsi="仿宋" w:eastAsia="仿宋" w:cs="仿宋"/>
          <w:sz w:val="32"/>
          <w:szCs w:val="32"/>
        </w:rPr>
        <w:t>人，其中:行政人员</w:t>
      </w:r>
      <w:r>
        <w:rPr>
          <w:rFonts w:hint="eastAsia" w:ascii="仿宋" w:hAnsi="仿宋" w:eastAsia="仿宋" w:cs="仿宋"/>
          <w:sz w:val="32"/>
          <w:szCs w:val="32"/>
          <w:lang w:val="en-US" w:eastAsia="zh-CN"/>
        </w:rPr>
        <w:t>20</w:t>
      </w:r>
      <w:r>
        <w:rPr>
          <w:rFonts w:hint="eastAsia" w:ascii="仿宋" w:hAnsi="仿宋" w:eastAsia="仿宋" w:cs="仿宋"/>
          <w:sz w:val="32"/>
          <w:szCs w:val="32"/>
        </w:rPr>
        <w:t>人，参公人员5个，事业人员15个，工勤人员3人；退休人员19人。年末在职人员4</w:t>
      </w:r>
      <w:r>
        <w:rPr>
          <w:rFonts w:hint="eastAsia" w:ascii="仿宋" w:hAnsi="仿宋" w:eastAsia="仿宋" w:cs="仿宋"/>
          <w:sz w:val="32"/>
          <w:szCs w:val="32"/>
          <w:lang w:val="en-US" w:eastAsia="zh-CN"/>
        </w:rPr>
        <w:t>4</w:t>
      </w:r>
      <w:r>
        <w:rPr>
          <w:rFonts w:hint="eastAsia" w:ascii="仿宋" w:hAnsi="仿宋" w:eastAsia="仿宋" w:cs="仿宋"/>
          <w:sz w:val="32"/>
          <w:szCs w:val="32"/>
        </w:rPr>
        <w:t>名，其中财政供养人员4</w:t>
      </w:r>
      <w:r>
        <w:rPr>
          <w:rFonts w:hint="eastAsia" w:ascii="仿宋" w:hAnsi="仿宋" w:eastAsia="仿宋" w:cs="仿宋"/>
          <w:sz w:val="32"/>
          <w:szCs w:val="32"/>
          <w:lang w:val="en-US" w:eastAsia="zh-CN"/>
        </w:rPr>
        <w:t>3</w:t>
      </w:r>
      <w:r>
        <w:rPr>
          <w:rFonts w:hint="eastAsia" w:ascii="仿宋" w:hAnsi="仿宋" w:eastAsia="仿宋" w:cs="仿宋"/>
          <w:sz w:val="32"/>
          <w:szCs w:val="32"/>
        </w:rPr>
        <w:t>人，长期聘用人员1人。</w:t>
      </w:r>
    </w:p>
    <w:p w14:paraId="33ADBE07">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二、部门资金收支情况</w:t>
      </w:r>
    </w:p>
    <w:p w14:paraId="72C2CDEF">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楷体" w:hAnsi="楷体" w:eastAsia="楷体" w:cs="楷体"/>
          <w:kern w:val="0"/>
          <w:sz w:val="32"/>
          <w:szCs w:val="32"/>
          <w:shd w:val="clear" w:color="auto" w:fill="FFFFFF"/>
          <w:lang w:val="zh-CN"/>
        </w:rPr>
        <w:t>（一）收入情况。</w:t>
      </w:r>
      <w:r>
        <w:rPr>
          <w:rFonts w:hint="eastAsia" w:ascii="仿宋" w:hAnsi="仿宋" w:eastAsia="仿宋" w:cs="仿宋"/>
          <w:sz w:val="32"/>
          <w:szCs w:val="32"/>
        </w:rPr>
        <w:t>2024年度收入总计1083.13万元。与2023年相比，收入总计减少89.04万元，下降率7.75%。主要变动原因是2024年是全国第五次经济普查登记实施年份，前期很多准备工作均在2023年完成</w:t>
      </w:r>
      <w:r>
        <w:rPr>
          <w:rFonts w:hint="eastAsia" w:ascii="仿宋" w:hAnsi="仿宋" w:eastAsia="仿宋" w:cs="仿宋"/>
          <w:sz w:val="32"/>
          <w:szCs w:val="32"/>
          <w:lang w:eastAsia="zh-CN"/>
        </w:rPr>
        <w:t>，</w:t>
      </w:r>
      <w:r>
        <w:rPr>
          <w:rFonts w:hint="eastAsia" w:ascii="仿宋" w:hAnsi="仿宋" w:eastAsia="仿宋" w:cs="仿宋"/>
          <w:sz w:val="32"/>
          <w:szCs w:val="32"/>
        </w:rPr>
        <w:t>普查专项经费减少，</w:t>
      </w:r>
      <w:r>
        <w:rPr>
          <w:rFonts w:hint="eastAsia" w:ascii="仿宋" w:hAnsi="仿宋" w:eastAsia="仿宋" w:cs="仿宋"/>
          <w:sz w:val="32"/>
          <w:szCs w:val="32"/>
          <w:lang w:eastAsia="zh-CN"/>
        </w:rPr>
        <w:t>以及</w:t>
      </w:r>
      <w:r>
        <w:rPr>
          <w:rFonts w:hint="eastAsia" w:ascii="仿宋" w:hAnsi="仿宋" w:eastAsia="仿宋" w:cs="仿宋"/>
          <w:sz w:val="32"/>
          <w:szCs w:val="32"/>
        </w:rPr>
        <w:t>人员和引进人才有一定变动，故收入较2023年有一定减少。</w:t>
      </w:r>
    </w:p>
    <w:p w14:paraId="179D2649">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楷体" w:hAnsi="楷体" w:eastAsia="楷体" w:cs="楷体"/>
          <w:kern w:val="0"/>
          <w:sz w:val="32"/>
          <w:szCs w:val="32"/>
          <w:shd w:val="clear" w:color="auto" w:fill="FFFFFF"/>
          <w:lang w:val="zh-CN"/>
        </w:rPr>
        <w:t>（二）支出情况。</w:t>
      </w:r>
      <w:r>
        <w:rPr>
          <w:rFonts w:hint="eastAsia" w:ascii="仿宋" w:hAnsi="仿宋" w:eastAsia="仿宋" w:cs="仿宋"/>
          <w:sz w:val="32"/>
          <w:szCs w:val="32"/>
        </w:rPr>
        <w:t>2024年度支出总计为1083.13万元。与2023年相比，支出总计减少89.04万元，下降率7.75%。主要变动原因是2024年是全国第五次经济普查登记实施年份，前期很多准备工作均在2023年完成</w:t>
      </w:r>
      <w:r>
        <w:rPr>
          <w:rFonts w:hint="eastAsia" w:ascii="仿宋" w:hAnsi="仿宋" w:eastAsia="仿宋" w:cs="仿宋"/>
          <w:sz w:val="32"/>
          <w:szCs w:val="32"/>
          <w:lang w:eastAsia="zh-CN"/>
        </w:rPr>
        <w:t>，</w:t>
      </w:r>
      <w:r>
        <w:rPr>
          <w:rFonts w:hint="eastAsia" w:ascii="仿宋" w:hAnsi="仿宋" w:eastAsia="仿宋" w:cs="仿宋"/>
          <w:sz w:val="32"/>
          <w:szCs w:val="32"/>
        </w:rPr>
        <w:t>普查专项经费减少，</w:t>
      </w:r>
      <w:r>
        <w:rPr>
          <w:rFonts w:hint="eastAsia" w:ascii="仿宋" w:hAnsi="仿宋" w:eastAsia="仿宋" w:cs="仿宋"/>
          <w:sz w:val="32"/>
          <w:szCs w:val="32"/>
          <w:lang w:eastAsia="zh-CN"/>
        </w:rPr>
        <w:t>以及</w:t>
      </w:r>
      <w:r>
        <w:rPr>
          <w:rFonts w:hint="eastAsia" w:ascii="仿宋" w:hAnsi="仿宋" w:eastAsia="仿宋" w:cs="仿宋"/>
          <w:sz w:val="32"/>
          <w:szCs w:val="32"/>
        </w:rPr>
        <w:t>人员和引进人才有一定变动，故</w:t>
      </w:r>
      <w:r>
        <w:rPr>
          <w:rFonts w:hint="eastAsia" w:ascii="仿宋" w:hAnsi="仿宋" w:eastAsia="仿宋" w:cs="仿宋"/>
          <w:sz w:val="32"/>
          <w:szCs w:val="32"/>
          <w:lang w:eastAsia="zh-CN"/>
        </w:rPr>
        <w:t>支出</w:t>
      </w:r>
      <w:r>
        <w:rPr>
          <w:rFonts w:hint="eastAsia" w:ascii="仿宋" w:hAnsi="仿宋" w:eastAsia="仿宋" w:cs="仿宋"/>
          <w:sz w:val="32"/>
          <w:szCs w:val="32"/>
        </w:rPr>
        <w:t>较2023年有一定减少。</w:t>
      </w:r>
    </w:p>
    <w:p w14:paraId="28F01995">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楷体" w:hAnsi="楷体" w:eastAsia="楷体" w:cs="楷体"/>
          <w:kern w:val="0"/>
          <w:sz w:val="32"/>
          <w:szCs w:val="32"/>
          <w:shd w:val="clear" w:color="auto" w:fill="FFFFFF"/>
          <w:lang w:val="zh-CN"/>
        </w:rPr>
        <w:t>（三）</w:t>
      </w:r>
      <w:r>
        <w:rPr>
          <w:rFonts w:hint="eastAsia" w:ascii="楷体" w:hAnsi="楷体" w:eastAsia="楷体" w:cs="楷体"/>
          <w:sz w:val="32"/>
          <w:szCs w:val="32"/>
        </w:rPr>
        <w:t>结余分配和结转结余情况。</w:t>
      </w:r>
      <w:r>
        <w:rPr>
          <w:rFonts w:hint="eastAsia" w:ascii="仿宋" w:hAnsi="仿宋" w:eastAsia="仿宋" w:cs="仿宋"/>
          <w:sz w:val="32"/>
          <w:szCs w:val="32"/>
        </w:rPr>
        <w:t>广元市统计局2024年决算报表无财政资金结转结余情况，指标结余1.85万元，其他资金0.28万元为往来款项和利息收入结余。</w:t>
      </w:r>
    </w:p>
    <w:p w14:paraId="1304BFBA">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三、部门预算绩效分析</w:t>
      </w:r>
    </w:p>
    <w:p w14:paraId="26307FDF">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楷体" w:hAnsi="楷体" w:eastAsia="楷体" w:cs="楷体"/>
          <w:kern w:val="0"/>
          <w:sz w:val="32"/>
          <w:szCs w:val="32"/>
          <w:shd w:val="clear" w:color="auto" w:fill="FFFFFF"/>
          <w:lang w:val="zh-CN"/>
        </w:rPr>
        <w:t>（一）部门预算总体绩效分析。</w:t>
      </w:r>
      <w:r>
        <w:rPr>
          <w:rFonts w:hint="eastAsia" w:ascii="仿宋" w:hAnsi="仿宋" w:eastAsia="仿宋" w:cs="仿宋"/>
          <w:sz w:val="32"/>
          <w:szCs w:val="32"/>
        </w:rPr>
        <w:t>根据部门预算绩效评价指标体系“总体绩效”涉及二、三级指标进行逐项绩效分析并评分，依次包括履职效能、预算管理、财务管理、资产管理、采购管理等情况。</w:t>
      </w:r>
    </w:p>
    <w:p w14:paraId="5EDBB899">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kern w:val="0"/>
          <w:sz w:val="32"/>
          <w:szCs w:val="32"/>
          <w:shd w:val="clear" w:color="auto" w:fill="FFFFFF"/>
          <w:lang w:val="zh-CN"/>
        </w:rPr>
        <w:t>1.履职效能。</w:t>
      </w:r>
      <w:r>
        <w:rPr>
          <w:rFonts w:hint="eastAsia" w:ascii="仿宋" w:hAnsi="仿宋" w:eastAsia="仿宋" w:cs="仿宋"/>
          <w:sz w:val="32"/>
          <w:szCs w:val="32"/>
        </w:rPr>
        <w:t>年初开展项目绩效分析、绩效目标制定，项目绩效目标设定为：数量指标、质量指标、成本指标、满意度指标，目标实现保障市统计局43名在职干部和1名长期聘用人员工资福利支出，实现了保障基本运转</w:t>
      </w:r>
      <w:r>
        <w:rPr>
          <w:rFonts w:hint="eastAsia" w:ascii="仿宋" w:hAnsi="仿宋" w:eastAsia="仿宋" w:cs="仿宋"/>
          <w:sz w:val="32"/>
          <w:szCs w:val="32"/>
          <w:lang w:eastAsia="zh-CN"/>
        </w:rPr>
        <w:t>；</w:t>
      </w:r>
      <w:r>
        <w:rPr>
          <w:rFonts w:hint="eastAsia" w:ascii="仿宋" w:hAnsi="仿宋" w:eastAsia="仿宋" w:cs="仿宋"/>
          <w:sz w:val="32"/>
          <w:szCs w:val="32"/>
        </w:rPr>
        <w:t>保障指导全市统计专业人才队伍建设，开展统计交流与合作；保障机关财务管理和全市统计系统内部审计工作，监督管理机关及直属事业单位的国有资产；保障负责协调机关政务和后勤管理、文秘、会务、政务信息、办公自动化、档案管理以及保密、信访、维稳、应急处理和社会治安综合治理等工作；保障经济普查和统计各类专项业务工作的顺利开展。年终目标实现机关运行良好，支出控制、执行进度、预算完成情况良好。</w:t>
      </w:r>
    </w:p>
    <w:p w14:paraId="3AA2F589">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kern w:val="0"/>
          <w:sz w:val="32"/>
          <w:szCs w:val="32"/>
        </w:rPr>
        <w:t>2.</w:t>
      </w:r>
      <w:r>
        <w:rPr>
          <w:rFonts w:hint="eastAsia" w:ascii="仿宋" w:hAnsi="仿宋" w:eastAsia="仿宋" w:cs="仿宋"/>
          <w:kern w:val="0"/>
          <w:sz w:val="32"/>
          <w:szCs w:val="32"/>
          <w:lang w:val="zh-CN"/>
        </w:rPr>
        <w:t>预算管理</w:t>
      </w:r>
      <w:r>
        <w:rPr>
          <w:rFonts w:hint="eastAsia" w:ascii="仿宋" w:hAnsi="仿宋" w:eastAsia="仿宋" w:cs="仿宋"/>
          <w:sz w:val="32"/>
          <w:szCs w:val="32"/>
          <w:lang w:val="zh-CN"/>
        </w:rPr>
        <w:t>。</w:t>
      </w:r>
      <w:r>
        <w:rPr>
          <w:rFonts w:hint="eastAsia" w:ascii="仿宋" w:hAnsi="仿宋" w:eastAsia="仿宋" w:cs="仿宋"/>
          <w:sz w:val="32"/>
          <w:szCs w:val="32"/>
        </w:rPr>
        <w:t>我局严格按照要求完成市本级部门预算“一上”、“二上”编报工作，广元市统计局2024年年初预算数883.25万元，年中调整了“五经普”专项工作经费和其他人员类经费，年终决算资金1083.13万元，</w:t>
      </w:r>
      <w:r>
        <w:rPr>
          <w:rFonts w:hint="eastAsia" w:ascii="仿宋" w:hAnsi="仿宋" w:eastAsia="仿宋" w:cs="仿宋"/>
          <w:sz w:val="32"/>
          <w:szCs w:val="32"/>
          <w:lang w:eastAsia="zh-CN"/>
        </w:rPr>
        <w:t>指标</w:t>
      </w:r>
      <w:r>
        <w:rPr>
          <w:rFonts w:hint="eastAsia" w:ascii="仿宋" w:hAnsi="仿宋" w:eastAsia="仿宋" w:cs="仿宋"/>
          <w:sz w:val="32"/>
          <w:szCs w:val="32"/>
        </w:rPr>
        <w:t>结余1.85万元。预算编报报表内容完整，数据准确，项目预算的编报通过各专业科室填报项目申报表，核实无误后报局党组会研究入项目管理库，纳入预算编报内容。</w:t>
      </w:r>
    </w:p>
    <w:p w14:paraId="418A586F">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kern w:val="0"/>
          <w:sz w:val="32"/>
          <w:szCs w:val="32"/>
        </w:rPr>
        <w:t xml:space="preserve"> 3.</w:t>
      </w:r>
      <w:r>
        <w:rPr>
          <w:rFonts w:hint="eastAsia" w:ascii="仿宋" w:hAnsi="仿宋" w:eastAsia="仿宋" w:cs="仿宋"/>
          <w:kern w:val="0"/>
          <w:sz w:val="32"/>
          <w:szCs w:val="32"/>
          <w:lang w:val="zh-CN"/>
        </w:rPr>
        <w:t>财务管理。</w:t>
      </w:r>
      <w:r>
        <w:rPr>
          <w:rFonts w:hint="eastAsia" w:ascii="仿宋" w:hAnsi="仿宋" w:eastAsia="仿宋" w:cs="仿宋"/>
          <w:sz w:val="32"/>
          <w:szCs w:val="32"/>
        </w:rPr>
        <w:t>2024年市本级账务统一采用预算一体化处理系统运行模式，设置日常会计核算工作能及时按照相关政策依据报销财务凭证，报销手续齐全，严格按照会计规范实施，科目设置合理，</w:t>
      </w:r>
      <w:r>
        <w:rPr>
          <w:rFonts w:hint="eastAsia" w:ascii="仿宋" w:hAnsi="仿宋" w:eastAsia="仿宋"/>
          <w:sz w:val="32"/>
          <w:szCs w:val="30"/>
        </w:rPr>
        <w:t>严格执行各项开支由财务分管领导一支笔审批，三万</w:t>
      </w:r>
      <w:r>
        <w:rPr>
          <w:rFonts w:ascii="仿宋" w:hAnsi="仿宋" w:eastAsia="仿宋"/>
          <w:sz w:val="32"/>
          <w:szCs w:val="30"/>
        </w:rPr>
        <w:t>以上</w:t>
      </w:r>
      <w:r>
        <w:rPr>
          <w:rFonts w:hint="eastAsia" w:ascii="仿宋" w:hAnsi="仿宋" w:eastAsia="仿宋"/>
          <w:sz w:val="32"/>
          <w:szCs w:val="30"/>
        </w:rPr>
        <w:t>大额开支严格按照三重一大制度规定由局党组会集体讨论决定，做到理财民主、政务公开，</w:t>
      </w:r>
      <w:r>
        <w:rPr>
          <w:rFonts w:hint="eastAsia" w:ascii="仿宋" w:hAnsi="仿宋" w:eastAsia="仿宋" w:cs="仿宋"/>
          <w:sz w:val="32"/>
          <w:szCs w:val="32"/>
        </w:rPr>
        <w:t>确保账证、账表和账账一致。专项资金严格按照《广元市统计局专项资金管理办法》管理，确保各类统计专项业务经费专款专用。</w:t>
      </w:r>
    </w:p>
    <w:p w14:paraId="089FBDB5">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kern w:val="0"/>
          <w:sz w:val="32"/>
          <w:szCs w:val="32"/>
        </w:rPr>
        <w:t>4.</w:t>
      </w:r>
      <w:r>
        <w:rPr>
          <w:rFonts w:hint="eastAsia" w:ascii="仿宋" w:hAnsi="仿宋" w:eastAsia="仿宋" w:cs="仿宋"/>
          <w:kern w:val="0"/>
          <w:sz w:val="32"/>
          <w:szCs w:val="32"/>
          <w:lang w:val="zh-CN"/>
        </w:rPr>
        <w:t>资产管理。</w:t>
      </w:r>
      <w:r>
        <w:rPr>
          <w:rFonts w:hint="eastAsia" w:ascii="仿宋" w:hAnsi="仿宋" w:eastAsia="仿宋" w:cs="仿宋"/>
          <w:sz w:val="32"/>
          <w:szCs w:val="32"/>
        </w:rPr>
        <w:t>2024年无新增资产，</w:t>
      </w:r>
      <w:r>
        <w:rPr>
          <w:rFonts w:hint="eastAsia" w:ascii="仿宋" w:hAnsi="仿宋" w:eastAsia="仿宋"/>
          <w:sz w:val="32"/>
          <w:szCs w:val="30"/>
        </w:rPr>
        <w:t>为实现普查数据处理环境要求，</w:t>
      </w:r>
      <w:r>
        <w:rPr>
          <w:rFonts w:hint="eastAsia" w:ascii="仿宋_GB2312" w:hAnsi="仿宋_GB2312" w:eastAsia="仿宋_GB2312" w:cs="仿宋_GB2312"/>
          <w:sz w:val="32"/>
          <w:szCs w:val="32"/>
        </w:rPr>
        <w:t>2024年7月</w:t>
      </w:r>
      <w:r>
        <w:rPr>
          <w:rFonts w:hint="eastAsia" w:ascii="仿宋" w:hAnsi="仿宋" w:eastAsia="仿宋"/>
          <w:sz w:val="32"/>
          <w:szCs w:val="30"/>
        </w:rPr>
        <w:t>我局对现有资产进行了清查，清理和回收了部分已超过最低使用年限的笔记本电脑和三农普数据采集终端等设备，及时上报资产报废请示，做好了资产管理系统中的资产减值，确保一体化系统中资产配置和比例不超标。</w:t>
      </w:r>
      <w:r>
        <w:rPr>
          <w:rFonts w:hint="eastAsia" w:ascii="仿宋" w:hAnsi="仿宋" w:eastAsia="仿宋" w:cs="仿宋"/>
          <w:sz w:val="32"/>
          <w:szCs w:val="32"/>
        </w:rPr>
        <w:t>人均资产变化率较去年有一定降低、资产利用率较高、无资产盘活。</w:t>
      </w:r>
    </w:p>
    <w:p w14:paraId="32B22DEF">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kern w:val="0"/>
          <w:sz w:val="32"/>
          <w:szCs w:val="32"/>
        </w:rPr>
        <w:t>5.</w:t>
      </w:r>
      <w:r>
        <w:rPr>
          <w:rFonts w:hint="eastAsia" w:ascii="仿宋" w:hAnsi="仿宋" w:eastAsia="仿宋" w:cs="仿宋"/>
          <w:kern w:val="0"/>
          <w:sz w:val="32"/>
          <w:szCs w:val="32"/>
          <w:lang w:val="zh-CN"/>
        </w:rPr>
        <w:t>采购管理。</w:t>
      </w:r>
      <w:r>
        <w:rPr>
          <w:rFonts w:hint="eastAsia" w:ascii="仿宋" w:hAnsi="仿宋" w:eastAsia="仿宋" w:cs="仿宋"/>
          <w:sz w:val="32"/>
          <w:szCs w:val="32"/>
        </w:rPr>
        <w:t>2024年度无政府采购。</w:t>
      </w:r>
    </w:p>
    <w:p w14:paraId="7A9C8A6D">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楷体" w:hAnsi="楷体" w:eastAsia="楷体" w:cs="楷体"/>
          <w:kern w:val="0"/>
          <w:sz w:val="32"/>
          <w:szCs w:val="32"/>
          <w:shd w:val="clear" w:color="auto" w:fill="FFFFFF"/>
          <w:lang w:val="zh-CN"/>
        </w:rPr>
        <w:t>（二）部门预算项目绩效分析。</w:t>
      </w:r>
      <w:r>
        <w:rPr>
          <w:rFonts w:hint="eastAsia" w:ascii="仿宋" w:hAnsi="仿宋" w:eastAsia="仿宋" w:cs="仿宋"/>
          <w:sz w:val="32"/>
          <w:szCs w:val="32"/>
        </w:rPr>
        <w:t>年初特定目标类项目绩效目标设定为</w:t>
      </w:r>
      <w:r>
        <w:rPr>
          <w:rFonts w:hint="eastAsia" w:ascii="仿宋" w:hAnsi="仿宋" w:eastAsia="仿宋" w:cs="仿宋"/>
          <w:sz w:val="32"/>
          <w:szCs w:val="32"/>
          <w:lang w:val="en-US" w:eastAsia="zh-CN"/>
        </w:rPr>
        <w:t>6</w:t>
      </w:r>
      <w:r>
        <w:rPr>
          <w:rFonts w:hint="eastAsia" w:ascii="仿宋" w:hAnsi="仿宋" w:eastAsia="仿宋" w:cs="仿宋"/>
          <w:sz w:val="32"/>
          <w:szCs w:val="32"/>
        </w:rPr>
        <w:t>个专项项目绩效申报，统计局部门预算绩效项目目标编制要素完整，指标细化量化。年中追加项目绩效申报第五次全国经济普查2024年度工作经费1个项目。特定目标类项目支出控制、执行进度、预算完成情况良好。</w:t>
      </w:r>
    </w:p>
    <w:p w14:paraId="3372936A">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常年项目绩效分析。该类项目总数 6 个，涉及预算总金额55.58万元，1—12月预算执行总体进度为97.54 %，其中：预算结余率大于10%的项目共计 1个，为统计业务培训费，结余原因是年报培训多在年底开展，存在跨年度支付的情况，相关会议费未支付到位。</w:t>
      </w:r>
    </w:p>
    <w:p w14:paraId="0B82F663">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阶段（含一次性）项目绩效分析。该类项目总数6个，涉及预算总金额55.58万元，1—12月预算执行总体进度为97.54 %，其中：预算结余率大于10%的项目共计1个。</w:t>
      </w:r>
    </w:p>
    <w:p w14:paraId="7B8B2CD8">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1.项目决策。项目预算的编报通过各专业科室填报项目申报表，核实无误后报局党组会研究入项目管理库，纳入预算编报内容。</w:t>
      </w:r>
    </w:p>
    <w:p w14:paraId="154C62DB">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color w:val="auto"/>
          <w:kern w:val="0"/>
          <w:sz w:val="32"/>
          <w:szCs w:val="32"/>
          <w:shd w:val="clear" w:color="auto" w:fill="FFFFFF"/>
        </w:rPr>
      </w:pPr>
      <w:r>
        <w:rPr>
          <w:rFonts w:hint="eastAsia" w:ascii="仿宋" w:hAnsi="仿宋" w:eastAsia="仿宋" w:cs="仿宋"/>
          <w:sz w:val="32"/>
          <w:szCs w:val="32"/>
        </w:rPr>
        <w:t>2.项目执行。部门预算内项目6个专项资金，预算金额55</w:t>
      </w:r>
      <w:r>
        <w:rPr>
          <w:rFonts w:hint="eastAsia" w:ascii="仿宋" w:hAnsi="仿宋" w:eastAsia="仿宋" w:cs="仿宋"/>
          <w:color w:val="auto"/>
          <w:sz w:val="32"/>
          <w:szCs w:val="32"/>
        </w:rPr>
        <w:t>.58万元，年终预算执行率</w:t>
      </w:r>
      <w:r>
        <w:rPr>
          <w:rFonts w:hint="eastAsia" w:ascii="仿宋" w:hAnsi="仿宋" w:eastAsia="仿宋" w:cs="仿宋"/>
          <w:color w:val="auto"/>
          <w:sz w:val="32"/>
          <w:szCs w:val="32"/>
          <w:lang w:val="zh-CN"/>
        </w:rPr>
        <w:t>为97.54%。</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调整</w:t>
      </w:r>
      <w:r>
        <w:rPr>
          <w:rFonts w:hint="eastAsia" w:ascii="仿宋" w:hAnsi="仿宋" w:eastAsia="仿宋" w:cs="仿宋"/>
          <w:color w:val="auto"/>
          <w:sz w:val="32"/>
          <w:szCs w:val="32"/>
          <w:lang w:eastAsia="zh-CN"/>
        </w:rPr>
        <w:t>高层次人才安家及引进人才费用、</w:t>
      </w:r>
      <w:r>
        <w:rPr>
          <w:rFonts w:hint="eastAsia" w:ascii="仿宋" w:hAnsi="仿宋" w:eastAsia="仿宋" w:cs="仿宋"/>
          <w:color w:val="auto"/>
          <w:kern w:val="0"/>
          <w:sz w:val="32"/>
          <w:szCs w:val="32"/>
          <w:shd w:val="clear" w:color="auto" w:fill="FFFFFF"/>
        </w:rPr>
        <w:t>第五次全国经济普查2024年度工作经费</w:t>
      </w:r>
      <w:r>
        <w:rPr>
          <w:rFonts w:hint="eastAsia" w:ascii="仿宋" w:hAnsi="仿宋" w:eastAsia="仿宋" w:cs="仿宋"/>
          <w:color w:val="auto"/>
          <w:sz w:val="32"/>
          <w:szCs w:val="32"/>
        </w:rPr>
        <w:t>2个</w:t>
      </w:r>
      <w:r>
        <w:rPr>
          <w:rFonts w:hint="eastAsia" w:ascii="仿宋" w:hAnsi="仿宋" w:eastAsia="仿宋" w:cs="仿宋"/>
          <w:color w:val="auto"/>
          <w:sz w:val="32"/>
          <w:szCs w:val="32"/>
          <w:lang w:eastAsia="zh-CN"/>
        </w:rPr>
        <w:t>项目，</w:t>
      </w:r>
      <w:r>
        <w:rPr>
          <w:rFonts w:hint="eastAsia" w:ascii="仿宋" w:hAnsi="仿宋" w:eastAsia="仿宋" w:cs="仿宋"/>
          <w:color w:val="auto"/>
          <w:kern w:val="0"/>
          <w:sz w:val="32"/>
          <w:szCs w:val="32"/>
          <w:shd w:val="clear" w:color="auto" w:fill="FFFFFF"/>
        </w:rPr>
        <w:t>保障指导全市统计专业人才队伍建设，开展统计交流与合作，统计局部门预算绩效项目目标编制要素完整，指标细化量化。整体特定目标类项目支出控制、执行进度、预算完成情况良好。</w:t>
      </w:r>
    </w:p>
    <w:p w14:paraId="1F1F48CB">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3.目标实现。2024年，</w:t>
      </w:r>
      <w:r>
        <w:rPr>
          <w:rFonts w:hint="eastAsia" w:ascii="仿宋" w:hAnsi="仿宋" w:eastAsia="仿宋" w:cs="仿宋"/>
          <w:color w:val="auto"/>
          <w:sz w:val="32"/>
          <w:szCs w:val="32"/>
          <w:lang w:eastAsia="zh-CN"/>
        </w:rPr>
        <w:t>市统计局部门预算合理，管理规范，各项目预算资金进度执行到位，绩效发挥好，有力保障了全市统计工作的顺利开展。</w:t>
      </w:r>
      <w:r>
        <w:rPr>
          <w:rFonts w:hint="eastAsia" w:ascii="仿宋" w:hAnsi="仿宋" w:eastAsia="仿宋" w:cs="仿宋"/>
          <w:color w:val="auto"/>
          <w:sz w:val="32"/>
          <w:szCs w:val="32"/>
        </w:rPr>
        <w:t>一是常态化开展</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统计调查。认真落实2023年统计年报和2024年定期统计报表制度，高效有序开展GDP核算、工业、农业、服务业等各类常规统计调查和抽样调查。二是扎实做好</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五经普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各项工作。2024年普查主要工作任务</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rPr>
        <w:t>普查登记，普查数据检查、审核与验收，普查数据质量抽查，普查数据汇总与评估，开展普查总结等。实现了五经普核算结果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保总量、稳位次、优结构、防风险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的目标。三是深化</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统计优质</w:t>
      </w:r>
      <w:r>
        <w:rPr>
          <w:rFonts w:hint="eastAsia" w:ascii="仿宋" w:hAnsi="仿宋" w:eastAsia="仿宋" w:cs="仿宋"/>
          <w:sz w:val="32"/>
          <w:szCs w:val="32"/>
        </w:rPr>
        <w:t>服务。紧紧围绕全市中心工作和发展大局，强化经济运行监测预警，围绕党政领导和社会公众的需求，不断丰富统计产品，</w:t>
      </w:r>
      <w:r>
        <w:rPr>
          <w:rFonts w:hint="eastAsia" w:ascii="仿宋" w:hAnsi="仿宋" w:eastAsia="仿宋" w:cs="仿宋"/>
          <w:color w:val="auto"/>
          <w:sz w:val="32"/>
          <w:szCs w:val="32"/>
        </w:rPr>
        <w:t>提升统计服务水平。四是依法统计依法治统。深入开展统计督察整改，扎实推进统计普法宣传，强化统计核查核实，不断提高</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政府统计公信力。五是不断夯实基层基础。持续提升基层统计能力，加强统计干部队伍建设，切实强化基层统计保障。</w:t>
      </w:r>
    </w:p>
    <w:p w14:paraId="030193FD">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（三）绩效结果应用情况。</w:t>
      </w:r>
    </w:p>
    <w:p w14:paraId="42A8EF61">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按要求完成了对预算执行动态监控、中期评估、绩效跟踪监控管理工作。严格执行了部门内控制度及绩效管理实施细则。在年底采取了相关措施加快预算执行，确保了全年预算绩效目标完成。</w:t>
      </w:r>
    </w:p>
    <w:p w14:paraId="6AF7718E">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根据项目预算执行情况，加强了对项目绩效的过程监管，采取了针对性措施，提高了预算的执行质量。</w:t>
      </w:r>
    </w:p>
    <w:p w14:paraId="0F1CF05C">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在规定的时间内向市财政局报送了部门整体支出绩效评价自评报告。自评报告内容完整，手续齐全，各项评价指标明确。评价结论合理有据、客观公正，如实地体现了单位取得绩效与存在的问题。</w:t>
      </w:r>
    </w:p>
    <w:p w14:paraId="2E8C1E80">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积极配合财政部门开展的绩效评价工作，及时提供了准确、真实的相关资料。</w:t>
      </w:r>
    </w:p>
    <w:p w14:paraId="545551A2">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单位预决算、绩效目标和整体支出绩效自评均在财政部门批复预决算后二十日内通过广元市政府门户网站向社会公开。公开数据以财政批复数据为准，按统一格式公开，数据完整、真实、准确。</w:t>
      </w:r>
    </w:p>
    <w:p w14:paraId="3E229107">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四、评价结论及建议</w:t>
      </w:r>
    </w:p>
    <w:p w14:paraId="004CEDD7">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楷体" w:hAnsi="楷体" w:eastAsia="楷体" w:cs="楷体"/>
          <w:sz w:val="32"/>
          <w:szCs w:val="32"/>
        </w:rPr>
        <w:t>（一）评价结论。</w:t>
      </w:r>
      <w:r>
        <w:rPr>
          <w:rFonts w:hint="eastAsia" w:ascii="仿宋" w:hAnsi="仿宋" w:eastAsia="仿宋" w:cs="仿宋"/>
          <w:sz w:val="32"/>
          <w:szCs w:val="32"/>
        </w:rPr>
        <w:t>2024年，我</w:t>
      </w:r>
      <w:r>
        <w:rPr>
          <w:rFonts w:hint="eastAsia" w:ascii="仿宋" w:hAnsi="仿宋" w:eastAsia="仿宋" w:cs="仿宋"/>
          <w:sz w:val="32"/>
          <w:szCs w:val="32"/>
          <w:lang w:eastAsia="zh-CN"/>
        </w:rPr>
        <w:t>局</w:t>
      </w:r>
      <w:r>
        <w:rPr>
          <w:rFonts w:hint="eastAsia" w:ascii="仿宋" w:hAnsi="仿宋" w:eastAsia="仿宋" w:cs="仿宋"/>
          <w:sz w:val="32"/>
          <w:szCs w:val="32"/>
        </w:rPr>
        <w:t>以绩效目标实现为导向，进一步加强制度建设，提升自评质量，预算绩效管理取得新成效。一是抓好绩效目标编制，及时报送绩效目标。二是探索绩效跟踪监控，进一步加强过程监控。三是深入开展财政支出绩效评价，对专项资金实施绩效自评和项目核查，在此基础上形成自评报告。四是强化评价结果应用，组织绩效自评和绩效跟踪监控，对发现的问题及时改进，加强评价结果与项目资金安排的衔接。五是健全绩效管理工作机制，明确职责分工，努力提高了绩效管理工作水平。整体绩效评价得分99.99分。</w:t>
      </w:r>
    </w:p>
    <w:p w14:paraId="75F5C03A">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楷体" w:hAnsi="楷体" w:eastAsia="楷体" w:cs="楷体"/>
          <w:sz w:val="32"/>
          <w:szCs w:val="32"/>
        </w:rPr>
        <w:t>（二）存在问题。</w:t>
      </w:r>
      <w:r>
        <w:rPr>
          <w:rFonts w:hint="eastAsia" w:ascii="仿宋" w:hAnsi="仿宋" w:eastAsia="仿宋" w:cs="仿宋"/>
          <w:sz w:val="32"/>
          <w:szCs w:val="32"/>
        </w:rPr>
        <w:t>一是单位的项目管理人员和财务人员协调配合还需要进一步加强。二是对单位的预算管理和绩效评价的精细化水平还需要进一步提高。</w:t>
      </w:r>
    </w:p>
    <w:p w14:paraId="633E7B1A">
      <w:pPr>
        <w:keepNext w:val="0"/>
        <w:keepLines w:val="0"/>
        <w:pageBreakBefore w:val="0"/>
        <w:widowControl/>
        <w:pBdr>
          <w:bottom w:val="single" w:color="FFFFFF" w:sz="8" w:space="31"/>
        </w:pBdr>
        <w:shd w:val="clear" w:color="auto" w:fill="FFFFFF"/>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楷体" w:hAnsi="楷体" w:eastAsia="楷体" w:cs="楷体"/>
          <w:sz w:val="32"/>
          <w:szCs w:val="32"/>
        </w:rPr>
        <w:t>（三）改进建议。</w:t>
      </w:r>
      <w:r>
        <w:rPr>
          <w:rFonts w:hint="eastAsia" w:ascii="仿宋" w:hAnsi="仿宋" w:eastAsia="仿宋" w:cs="仿宋"/>
          <w:sz w:val="32"/>
          <w:szCs w:val="32"/>
        </w:rPr>
        <w:t>一是进一步完善绩效管理制度，并严格执行，发挥绩效管理制度应有的作用。二是进一步加强绩效评价管理制度和流程的建设，深化、完善绩效管理体系，建立全过程的预算绩效管理机制，促进绩效管理工作向广度和深度延伸。三是进一步提升项目绩效支出管理水平，加强对各项目科室项目支出绩效管理指导，监督项目支出经费合理、规范、及时支出。四是进一步提高管理人员业务技能，提高部门预算的综合绩效水平。</w:t>
      </w:r>
    </w:p>
    <w:p w14:paraId="427A6E60">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附表：部门预算项目支出绩效自评表（2024年度）</w:t>
      </w:r>
    </w:p>
    <w:p w14:paraId="79FA181B">
      <w:pPr>
        <w:pStyle w:val="20"/>
        <w:keepNext w:val="0"/>
        <w:keepLines w:val="0"/>
        <w:pageBreakBefore w:val="0"/>
        <w:kinsoku/>
        <w:wordWrap/>
        <w:overflowPunct/>
        <w:topLinePunct w:val="0"/>
        <w:autoSpaceDE/>
        <w:autoSpaceDN/>
        <w:bidi w:val="0"/>
        <w:spacing w:before="0" w:after="0" w:line="560" w:lineRule="exact"/>
        <w:textAlignment w:val="auto"/>
        <w:rPr>
          <w:rFonts w:ascii="仿宋" w:hAnsi="仿宋" w:eastAsia="仿宋" w:cs="仿宋"/>
          <w:b w:val="0"/>
          <w:sz w:val="32"/>
          <w:szCs w:val="32"/>
        </w:rPr>
      </w:pPr>
    </w:p>
    <w:p w14:paraId="37ED95E2">
      <w:pPr>
        <w:pStyle w:val="2"/>
        <w:spacing w:after="0" w:line="576" w:lineRule="exact"/>
        <w:ind w:left="420" w:firstLine="4198" w:firstLineChars="1312"/>
        <w:rPr>
          <w:rFonts w:hint="eastAsia" w:ascii="Times New Roman" w:hAnsi="Times New Roman" w:eastAsia="仿宋_GB2312" w:cs="仿宋_GB2312"/>
          <w:b w:val="0"/>
          <w:bCs w:val="0"/>
          <w:color w:val="000000" w:themeColor="text1"/>
          <w:kern w:val="0"/>
          <w:position w:val="0"/>
          <w:sz w:val="32"/>
          <w:szCs w:val="32"/>
          <w:highlight w:val="yellow"/>
          <w:lang w:val="en-US" w:eastAsia="zh-CN" w:bidi="ar-SA"/>
          <w14:textFill>
            <w14:solidFill>
              <w14:schemeClr w14:val="tx1"/>
            </w14:solidFill>
          </w14:textFill>
        </w:rPr>
        <w:sectPr>
          <w:footerReference r:id="rId6" w:type="first"/>
          <w:footerReference r:id="rId5" w:type="default"/>
          <w:pgSz w:w="11906" w:h="16838"/>
          <w:pgMar w:top="1701" w:right="1474" w:bottom="1497" w:left="1587" w:header="851" w:footer="992" w:gutter="0"/>
          <w:pgNumType w:fmt="decimal" w:start="1"/>
          <w:cols w:space="0" w:num="1"/>
          <w:titlePg/>
          <w:rtlGutter w:val="0"/>
          <w:docGrid w:type="lines" w:linePitch="312" w:charSpace="0"/>
        </w:sectPr>
      </w:pPr>
      <w:r>
        <w:rPr>
          <w:rFonts w:hint="eastAsia" w:ascii="仿宋" w:hAnsi="仿宋" w:eastAsia="仿宋" w:cs="仿宋"/>
          <w:sz w:val="32"/>
          <w:szCs w:val="32"/>
        </w:rPr>
        <w:t xml:space="preserve">                   </w:t>
      </w:r>
    </w:p>
    <w:tbl>
      <w:tblPr>
        <w:tblStyle w:val="16"/>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6"/>
        <w:gridCol w:w="2165"/>
        <w:gridCol w:w="1432"/>
        <w:gridCol w:w="92"/>
        <w:gridCol w:w="2454"/>
        <w:gridCol w:w="458"/>
        <w:gridCol w:w="479"/>
        <w:gridCol w:w="17"/>
        <w:gridCol w:w="16"/>
        <w:gridCol w:w="17"/>
        <w:gridCol w:w="17"/>
        <w:gridCol w:w="16"/>
        <w:gridCol w:w="34"/>
        <w:gridCol w:w="16"/>
        <w:gridCol w:w="17"/>
        <w:gridCol w:w="33"/>
        <w:gridCol w:w="17"/>
        <w:gridCol w:w="769"/>
        <w:gridCol w:w="756"/>
        <w:gridCol w:w="957"/>
        <w:gridCol w:w="486"/>
        <w:gridCol w:w="486"/>
        <w:gridCol w:w="2480"/>
      </w:tblGrid>
      <w:tr w14:paraId="234C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598EE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390F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A5D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CCFB5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51000021R000000019951-工资性支出</w:t>
            </w:r>
          </w:p>
        </w:tc>
      </w:tr>
      <w:tr w14:paraId="1CD7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A1B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6BE329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19F8A0D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A0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0E92A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91E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D3D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B55B0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48BB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0729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2B4CB">
            <w:pP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89D90">
            <w:pPr>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08A8A8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严格执行相关政策，保障工资及时、足额发放，预算编制科学合理，减少结余资金</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D5F2A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严格执行相关政策，保障工资及时、足额发放，执行进度100%，年终无结余资金</w:t>
            </w:r>
          </w:p>
        </w:tc>
      </w:tr>
      <w:tr w14:paraId="02790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468BC">
            <w:pP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9B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spacing w:val="-11"/>
                <w:kern w:val="0"/>
                <w:sz w:val="18"/>
                <w:szCs w:val="18"/>
                <w:u w:val="none"/>
                <w:lang w:val="en-US" w:eastAsia="zh-CN" w:bidi="ar"/>
              </w:rPr>
              <w:t>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CF99AE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保障市统计局43名在职干部和1名长期聘用人员工资福利支出，发放覆盖率、足额保障率均为100%，目标实现了保障基本运转。</w:t>
            </w:r>
          </w:p>
        </w:tc>
      </w:tr>
      <w:tr w14:paraId="588DF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CB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C7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357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B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6876F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3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A2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66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3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B64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578BF">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0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6F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0.02</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3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7.46</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CC1AD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13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3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9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749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161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71516">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5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54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0.02</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E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7.46</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1EBC8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40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7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4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6071F">
            <w:pPr>
              <w:rPr>
                <w:rFonts w:hint="default" w:ascii="黑体" w:hAnsi="黑体" w:eastAsia="黑体" w:cs="黑体"/>
                <w:i w:val="0"/>
                <w:iCs w:val="0"/>
                <w:color w:val="000000"/>
                <w:sz w:val="18"/>
                <w:szCs w:val="18"/>
                <w:u w:val="none"/>
              </w:rPr>
            </w:pPr>
          </w:p>
        </w:tc>
      </w:tr>
      <w:tr w14:paraId="28C9F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E8723">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C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7C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9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D48BD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C0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1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4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3BF63">
            <w:pPr>
              <w:rPr>
                <w:rFonts w:hint="default" w:ascii="黑体" w:hAnsi="黑体" w:eastAsia="黑体" w:cs="黑体"/>
                <w:i w:val="0"/>
                <w:iCs w:val="0"/>
                <w:color w:val="000000"/>
                <w:sz w:val="18"/>
                <w:szCs w:val="18"/>
                <w:u w:val="none"/>
              </w:rPr>
            </w:pPr>
          </w:p>
        </w:tc>
      </w:tr>
      <w:tr w14:paraId="642C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BAF08">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0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0F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8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4AD96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3E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4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3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F0E2D">
            <w:pPr>
              <w:rPr>
                <w:rFonts w:hint="default" w:ascii="黑体" w:hAnsi="黑体" w:eastAsia="黑体" w:cs="黑体"/>
                <w:i w:val="0"/>
                <w:iCs w:val="0"/>
                <w:color w:val="000000"/>
                <w:sz w:val="18"/>
                <w:szCs w:val="18"/>
                <w:u w:val="none"/>
              </w:rPr>
            </w:pPr>
          </w:p>
        </w:tc>
      </w:tr>
      <w:tr w14:paraId="5905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FBF55">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A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FB196">
            <w:pPr>
              <w:jc w:val="center"/>
              <w:rPr>
                <w:rFonts w:hint="eastAsia"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32C3">
            <w:pPr>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DEC6C18">
            <w:pPr>
              <w:keepNext w:val="0"/>
              <w:keepLines w:val="0"/>
              <w:pageBreakBefore w:val="0"/>
              <w:kinsoku/>
              <w:wordWrap/>
              <w:overflowPunct/>
              <w:topLinePunct w:val="0"/>
              <w:autoSpaceDE/>
              <w:autoSpaceDN/>
              <w:bidi w:val="0"/>
              <w:adjustRightInd/>
              <w:snapToGrid/>
              <w:spacing w:line="260" w:lineRule="exact"/>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6E89">
            <w:pPr>
              <w:keepNext w:val="0"/>
              <w:keepLines w:val="0"/>
              <w:pageBreakBefore w:val="0"/>
              <w:kinsoku/>
              <w:wordWrap/>
              <w:overflowPunct/>
              <w:topLinePunct w:val="0"/>
              <w:autoSpaceDE/>
              <w:autoSpaceDN/>
              <w:bidi w:val="0"/>
              <w:adjustRightInd/>
              <w:snapToGrid/>
              <w:spacing w:line="260" w:lineRule="exact"/>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B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D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0341C">
            <w:pPr>
              <w:rPr>
                <w:rFonts w:hint="default" w:ascii="黑体" w:hAnsi="黑体" w:eastAsia="黑体" w:cs="黑体"/>
                <w:i w:val="0"/>
                <w:iCs w:val="0"/>
                <w:color w:val="000000"/>
                <w:sz w:val="18"/>
                <w:szCs w:val="18"/>
                <w:u w:val="none"/>
              </w:rPr>
            </w:pPr>
          </w:p>
        </w:tc>
      </w:tr>
      <w:tr w14:paraId="377A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E4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75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1C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F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776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5C4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C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w:t>
            </w:r>
          </w:p>
          <w:p w14:paraId="07737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5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C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E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B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252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1A8B5">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0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1E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D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D92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557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5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7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0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D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BF00">
            <w:pPr>
              <w:jc w:val="center"/>
              <w:rPr>
                <w:rFonts w:hint="default" w:ascii="微软雅黑" w:hAnsi="微软雅黑" w:eastAsia="微软雅黑" w:cs="微软雅黑"/>
                <w:i w:val="0"/>
                <w:iCs w:val="0"/>
                <w:color w:val="000000"/>
                <w:sz w:val="16"/>
                <w:szCs w:val="16"/>
                <w:u w:val="none"/>
              </w:rPr>
            </w:pPr>
          </w:p>
        </w:tc>
      </w:tr>
      <w:tr w14:paraId="1EF6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5B16C">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A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02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9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871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D04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4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7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C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3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8808">
            <w:pPr>
              <w:jc w:val="center"/>
              <w:rPr>
                <w:rFonts w:hint="default" w:ascii="微软雅黑" w:hAnsi="微软雅黑" w:eastAsia="微软雅黑" w:cs="微软雅黑"/>
                <w:i w:val="0"/>
                <w:iCs w:val="0"/>
                <w:color w:val="000000"/>
                <w:sz w:val="16"/>
                <w:szCs w:val="16"/>
                <w:u w:val="none"/>
              </w:rPr>
            </w:pPr>
          </w:p>
        </w:tc>
      </w:tr>
      <w:tr w14:paraId="7276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1BFE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4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A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8287">
            <w:pPr>
              <w:rPr>
                <w:rFonts w:hint="eastAsia" w:ascii="宋体" w:hAnsi="宋体" w:eastAsia="宋体" w:cs="宋体"/>
                <w:i w:val="0"/>
                <w:iCs w:val="0"/>
                <w:color w:val="000000"/>
                <w:sz w:val="18"/>
                <w:szCs w:val="18"/>
                <w:u w:val="none"/>
              </w:rPr>
            </w:pPr>
          </w:p>
        </w:tc>
      </w:tr>
      <w:tr w14:paraId="1AB6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51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11A67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项目自评总分100分，保障市统计局43名在职干部和1名长期聘用人员工资福利支出，目标实现了保障基本运转，执行较好。</w:t>
            </w:r>
          </w:p>
        </w:tc>
      </w:tr>
      <w:tr w14:paraId="25D1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E7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943A2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无</w:t>
            </w:r>
          </w:p>
        </w:tc>
      </w:tr>
      <w:tr w14:paraId="68E8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FF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ACB36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无</w:t>
            </w:r>
          </w:p>
        </w:tc>
      </w:tr>
      <w:tr w14:paraId="24DB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3AE5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项目负责人：刘阳</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459A9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4952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1E314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4A47B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809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0D858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51000021R000000019952-其他人员支出</w:t>
            </w:r>
          </w:p>
        </w:tc>
      </w:tr>
      <w:tr w14:paraId="0B61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FD2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2EF6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62F9E2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FA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08C9D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616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19C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79A4D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8DA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13E6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43DB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8CA7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1686F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6"/>
                <w:kern w:val="0"/>
                <w:sz w:val="18"/>
                <w:szCs w:val="18"/>
                <w:u w:val="none"/>
                <w:lang w:val="en-US" w:eastAsia="zh-CN" w:bidi="ar"/>
              </w:rPr>
              <w:t>严格执行相关政策，保障其他人员支出，预算编制科学合理，减少结余资金</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5F56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spacing w:val="-11"/>
                <w:kern w:val="0"/>
                <w:sz w:val="18"/>
                <w:szCs w:val="18"/>
                <w:u w:val="none"/>
                <w:lang w:val="en-US" w:eastAsia="zh-CN" w:bidi="ar"/>
              </w:rPr>
              <w:t>年终保障了各类工资、社保</w:t>
            </w:r>
            <w:r>
              <w:rPr>
                <w:rFonts w:hint="eastAsia" w:ascii="黑体" w:hAnsi="黑体" w:eastAsia="黑体" w:cs="黑体"/>
                <w:i w:val="0"/>
                <w:iCs w:val="0"/>
                <w:color w:val="000000"/>
                <w:spacing w:val="-11"/>
                <w:kern w:val="0"/>
                <w:sz w:val="18"/>
                <w:szCs w:val="18"/>
                <w:u w:val="none"/>
                <w:lang w:val="en-US" w:eastAsia="zh-CN" w:bidi="ar"/>
              </w:rPr>
              <w:t>等</w:t>
            </w:r>
            <w:r>
              <w:rPr>
                <w:rFonts w:hint="default" w:ascii="黑体" w:hAnsi="黑体" w:eastAsia="黑体" w:cs="黑体"/>
                <w:i w:val="0"/>
                <w:iCs w:val="0"/>
                <w:color w:val="000000"/>
                <w:spacing w:val="-11"/>
                <w:kern w:val="0"/>
                <w:sz w:val="18"/>
                <w:szCs w:val="18"/>
                <w:u w:val="none"/>
                <w:lang w:val="en-US" w:eastAsia="zh-CN" w:bidi="ar"/>
              </w:rPr>
              <w:t>及时足额发放，预算执行率100%</w:t>
            </w:r>
          </w:p>
        </w:tc>
      </w:tr>
      <w:tr w14:paraId="73EB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0F91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97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spacing w:val="-11"/>
                <w:kern w:val="0"/>
                <w:sz w:val="18"/>
                <w:szCs w:val="18"/>
                <w:u w:val="none"/>
                <w:lang w:val="en-US" w:eastAsia="zh-CN" w:bidi="ar"/>
              </w:rPr>
              <w:t>.项目实施内容及过程概述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37480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保障市统计局43名在职干部和1名长期聘用人员工资福利等各项支出，发放覆盖率、足额保障率均为100%，目标实现了保障基本运转。</w:t>
            </w:r>
          </w:p>
        </w:tc>
      </w:tr>
      <w:tr w14:paraId="4D219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4B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1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958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C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0226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15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7F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6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88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54E2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6AB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FD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3B6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0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22.04</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9229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5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48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B2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635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7E9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589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4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60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8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22.04</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18AE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3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F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C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8F9BF">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25E9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C29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0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D4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4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8E11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0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4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5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DEA12">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3848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2AB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E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69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D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AAD2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E2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4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A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F1E07">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4EAF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794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3F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C17EE">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C5F7">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97627C4">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220E">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18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D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2E344">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73A1F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D30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3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A28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0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38DD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EF0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FB2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w:t>
            </w:r>
          </w:p>
          <w:p w14:paraId="347265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B1A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71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200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A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CC3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803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9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043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70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A73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ACA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3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0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2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5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75DB">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3011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C6F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96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1A9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A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E09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C5D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2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4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3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1C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193D">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393D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13AB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F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29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E75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4830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04A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DC13B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项目自评总分100分，保障了各类工资、社保</w:t>
            </w:r>
            <w:r>
              <w:rPr>
                <w:rFonts w:hint="eastAsia" w:ascii="微软雅黑" w:hAnsi="微软雅黑" w:eastAsia="微软雅黑" w:cs="微软雅黑"/>
                <w:i w:val="0"/>
                <w:iCs w:val="0"/>
                <w:color w:val="000000"/>
                <w:kern w:val="0"/>
                <w:sz w:val="16"/>
                <w:szCs w:val="16"/>
                <w:u w:val="none"/>
                <w:lang w:val="en-US" w:eastAsia="zh-CN" w:bidi="ar"/>
              </w:rPr>
              <w:t>等各项支出</w:t>
            </w:r>
            <w:r>
              <w:rPr>
                <w:rFonts w:hint="default" w:ascii="微软雅黑" w:hAnsi="微软雅黑" w:eastAsia="微软雅黑" w:cs="微软雅黑"/>
                <w:i w:val="0"/>
                <w:iCs w:val="0"/>
                <w:color w:val="000000"/>
                <w:kern w:val="0"/>
                <w:sz w:val="16"/>
                <w:szCs w:val="16"/>
                <w:u w:val="none"/>
                <w:lang w:val="en-US" w:eastAsia="zh-CN" w:bidi="ar"/>
              </w:rPr>
              <w:t>及时足额发放，年终无结余，预算执行率100%，</w:t>
            </w:r>
          </w:p>
        </w:tc>
      </w:tr>
      <w:tr w14:paraId="0F72F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68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315F2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无</w:t>
            </w:r>
          </w:p>
        </w:tc>
      </w:tr>
      <w:tr w14:paraId="4E76A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52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5C449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无</w:t>
            </w:r>
          </w:p>
        </w:tc>
      </w:tr>
      <w:tr w14:paraId="7DA8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8F1B6E">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项目负责人：刘阳</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19D871E">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79FE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2542B2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1972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18B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8FB42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51080021T000000051645-统计业务培训经费</w:t>
            </w:r>
          </w:p>
        </w:tc>
      </w:tr>
      <w:tr w14:paraId="1966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C1C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A9B76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362DD1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FC1A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0AC1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250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B9F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7A70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411D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4FC0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2F7F5">
            <w:pP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08ADF">
            <w:pPr>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36DEC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完成2024年工业能源统计业务知识培训、 工业能源统计年报会暨业务知识培训等业务培训会议、2024年人口抽样调查培训会、劳动工资培训会、2024年研发、科技创新、“两岗监测”、两码、2024年GDP统一核算、信息化建设业务培训等相关专项培训会议</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C91F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年终完成了各类统计业务培训，资金预算执行率为82.86%，存在跨年支付情况</w:t>
            </w:r>
          </w:p>
        </w:tc>
      </w:tr>
      <w:tr w14:paraId="4D315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8CFC8">
            <w:pP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4B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9A198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根据全市统计工作安排，各专业分批次按时完成了完成2024年工业能源统计业务知识培训、 工业能源统计年报会暨业务知识培训等业务培训会议、2024年人口抽样调查培训会、劳动工资培训会、2024年研发、科技创新、“两岗监测”、两码、2024年GDP统一核算、信息化建设业务培训等相关专项培训会议，参训学员合格率达到95%以上。</w:t>
            </w:r>
          </w:p>
        </w:tc>
      </w:tr>
      <w:tr w14:paraId="3366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F2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0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61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A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C901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B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D3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5A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FC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487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FA14D">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A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57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B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BAB9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4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82.86%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22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6F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471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6447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857E8">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8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8F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6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5E90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5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82.86%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B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9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2AD81">
            <w:pPr>
              <w:rPr>
                <w:rFonts w:hint="default" w:ascii="黑体" w:hAnsi="黑体" w:eastAsia="黑体" w:cs="黑体"/>
                <w:i w:val="0"/>
                <w:iCs w:val="0"/>
                <w:color w:val="000000"/>
                <w:sz w:val="18"/>
                <w:szCs w:val="18"/>
                <w:u w:val="none"/>
              </w:rPr>
            </w:pPr>
          </w:p>
        </w:tc>
      </w:tr>
      <w:tr w14:paraId="499D6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03CF0">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4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FE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1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6468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C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4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D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AE21C">
            <w:pPr>
              <w:rPr>
                <w:rFonts w:hint="default" w:ascii="黑体" w:hAnsi="黑体" w:eastAsia="黑体" w:cs="黑体"/>
                <w:i w:val="0"/>
                <w:iCs w:val="0"/>
                <w:color w:val="000000"/>
                <w:sz w:val="18"/>
                <w:szCs w:val="18"/>
                <w:u w:val="none"/>
              </w:rPr>
            </w:pPr>
          </w:p>
        </w:tc>
      </w:tr>
      <w:tr w14:paraId="2F88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55F89">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6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73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D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D709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0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E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E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F7C0E">
            <w:pPr>
              <w:rPr>
                <w:rFonts w:hint="default" w:ascii="黑体" w:hAnsi="黑体" w:eastAsia="黑体" w:cs="黑体"/>
                <w:i w:val="0"/>
                <w:iCs w:val="0"/>
                <w:color w:val="000000"/>
                <w:sz w:val="18"/>
                <w:szCs w:val="18"/>
                <w:u w:val="none"/>
              </w:rPr>
            </w:pPr>
          </w:p>
        </w:tc>
      </w:tr>
      <w:tr w14:paraId="7190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4254D">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3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B30A1">
            <w:pPr>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7849">
            <w:pPr>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677AF80">
            <w:pPr>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79A1">
            <w:pPr>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F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2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08E9B">
            <w:pPr>
              <w:rPr>
                <w:rFonts w:hint="default" w:ascii="黑体" w:hAnsi="黑体" w:eastAsia="黑体" w:cs="黑体"/>
                <w:i w:val="0"/>
                <w:iCs w:val="0"/>
                <w:color w:val="000000"/>
                <w:sz w:val="18"/>
                <w:szCs w:val="18"/>
                <w:u w:val="none"/>
              </w:rPr>
            </w:pPr>
          </w:p>
        </w:tc>
      </w:tr>
      <w:tr w14:paraId="0DF36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02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7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93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2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D76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98B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DC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w:t>
            </w:r>
          </w:p>
          <w:p w14:paraId="56F8A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A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F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8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4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13A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C022C">
            <w:pPr>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83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02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2C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2024年文化产业、两纲监测培训</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E12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4EC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B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D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9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4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DDAC">
            <w:pPr>
              <w:jc w:val="center"/>
              <w:rPr>
                <w:rFonts w:hint="default" w:ascii="微软雅黑" w:hAnsi="微软雅黑" w:eastAsia="微软雅黑" w:cs="微软雅黑"/>
                <w:i w:val="0"/>
                <w:iCs w:val="0"/>
                <w:color w:val="000000"/>
                <w:sz w:val="16"/>
                <w:szCs w:val="16"/>
                <w:u w:val="none"/>
              </w:rPr>
            </w:pPr>
          </w:p>
        </w:tc>
      </w:tr>
      <w:tr w14:paraId="1710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D1BA5">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1B1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779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78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2024年研发、科技创新统计年报培训</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264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953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5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E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5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2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71D0">
            <w:pPr>
              <w:jc w:val="center"/>
              <w:rPr>
                <w:rFonts w:hint="default" w:ascii="微软雅黑" w:hAnsi="微软雅黑" w:eastAsia="微软雅黑" w:cs="微软雅黑"/>
                <w:i w:val="0"/>
                <w:iCs w:val="0"/>
                <w:color w:val="000000"/>
                <w:sz w:val="16"/>
                <w:szCs w:val="16"/>
                <w:u w:val="none"/>
              </w:rPr>
            </w:pPr>
          </w:p>
        </w:tc>
      </w:tr>
      <w:tr w14:paraId="36F6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67E11">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3A0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C48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A5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国民经济、GDP统一核算培训</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F18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D15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F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9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1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2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0F74">
            <w:pPr>
              <w:jc w:val="center"/>
              <w:rPr>
                <w:rFonts w:hint="default" w:ascii="微软雅黑" w:hAnsi="微软雅黑" w:eastAsia="微软雅黑" w:cs="微软雅黑"/>
                <w:i w:val="0"/>
                <w:iCs w:val="0"/>
                <w:color w:val="000000"/>
                <w:sz w:val="16"/>
                <w:szCs w:val="16"/>
                <w:u w:val="none"/>
              </w:rPr>
            </w:pPr>
          </w:p>
        </w:tc>
      </w:tr>
      <w:tr w14:paraId="17D3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144A9">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FED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D16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94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2024年人口抽样变动调查培训会</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080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E9B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3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9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B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0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BEAE">
            <w:pPr>
              <w:jc w:val="center"/>
              <w:rPr>
                <w:rFonts w:hint="default" w:ascii="微软雅黑" w:hAnsi="微软雅黑" w:eastAsia="微软雅黑" w:cs="微软雅黑"/>
                <w:i w:val="0"/>
                <w:iCs w:val="0"/>
                <w:color w:val="000000"/>
                <w:sz w:val="16"/>
                <w:szCs w:val="16"/>
                <w:u w:val="none"/>
              </w:rPr>
            </w:pPr>
          </w:p>
        </w:tc>
      </w:tr>
      <w:tr w14:paraId="45691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39835">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0D6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E1C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BA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完成2024年劳动工资培训</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004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974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A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6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6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5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CD2F">
            <w:pPr>
              <w:jc w:val="center"/>
              <w:rPr>
                <w:rFonts w:hint="default" w:ascii="微软雅黑" w:hAnsi="微软雅黑" w:eastAsia="微软雅黑" w:cs="微软雅黑"/>
                <w:i w:val="0"/>
                <w:iCs w:val="0"/>
                <w:color w:val="000000"/>
                <w:sz w:val="16"/>
                <w:szCs w:val="16"/>
                <w:u w:val="none"/>
              </w:rPr>
            </w:pPr>
          </w:p>
        </w:tc>
      </w:tr>
      <w:tr w14:paraId="1786D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DFB99">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FE9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C94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B0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2024年劳动工资统计年报培训会</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A3A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D83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1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C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2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C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71F1">
            <w:pPr>
              <w:jc w:val="center"/>
              <w:rPr>
                <w:rFonts w:hint="default" w:ascii="微软雅黑" w:hAnsi="微软雅黑" w:eastAsia="微软雅黑" w:cs="微软雅黑"/>
                <w:i w:val="0"/>
                <w:iCs w:val="0"/>
                <w:color w:val="000000"/>
                <w:sz w:val="16"/>
                <w:szCs w:val="16"/>
                <w:u w:val="none"/>
              </w:rPr>
            </w:pPr>
          </w:p>
        </w:tc>
      </w:tr>
      <w:tr w14:paraId="07482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874ED">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374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D2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C8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各类统计培训“参训学员合格率”</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A40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7FE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A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4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0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9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C2B0">
            <w:pPr>
              <w:jc w:val="center"/>
              <w:rPr>
                <w:rFonts w:hint="default" w:ascii="微软雅黑" w:hAnsi="微软雅黑" w:eastAsia="微软雅黑" w:cs="微软雅黑"/>
                <w:i w:val="0"/>
                <w:iCs w:val="0"/>
                <w:color w:val="000000"/>
                <w:sz w:val="16"/>
                <w:szCs w:val="16"/>
                <w:u w:val="none"/>
              </w:rPr>
            </w:pPr>
          </w:p>
        </w:tc>
      </w:tr>
      <w:tr w14:paraId="6851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20BC9">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47E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B0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FC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各项培训任务完成时限</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D2B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463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D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F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1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5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B5A8">
            <w:pPr>
              <w:jc w:val="center"/>
              <w:rPr>
                <w:rFonts w:hint="default" w:ascii="微软雅黑" w:hAnsi="微软雅黑" w:eastAsia="微软雅黑" w:cs="微软雅黑"/>
                <w:i w:val="0"/>
                <w:iCs w:val="0"/>
                <w:color w:val="000000"/>
                <w:sz w:val="16"/>
                <w:szCs w:val="16"/>
                <w:u w:val="none"/>
              </w:rPr>
            </w:pPr>
          </w:p>
        </w:tc>
      </w:tr>
      <w:tr w14:paraId="0754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59E13">
            <w:pPr>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369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4B0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FE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统计业务培训应用比率</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96E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559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8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3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B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9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5F9F">
            <w:pPr>
              <w:jc w:val="center"/>
              <w:rPr>
                <w:rFonts w:hint="default" w:ascii="微软雅黑" w:hAnsi="微软雅黑" w:eastAsia="微软雅黑" w:cs="微软雅黑"/>
                <w:i w:val="0"/>
                <w:iCs w:val="0"/>
                <w:color w:val="000000"/>
                <w:sz w:val="16"/>
                <w:szCs w:val="16"/>
                <w:u w:val="none"/>
              </w:rPr>
            </w:pPr>
          </w:p>
        </w:tc>
      </w:tr>
      <w:tr w14:paraId="42725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502C2">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933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7E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7F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统计调查业务工作培训效果</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41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A1D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1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0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B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D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EE01">
            <w:pPr>
              <w:jc w:val="center"/>
              <w:rPr>
                <w:rFonts w:hint="default" w:ascii="微软雅黑" w:hAnsi="微软雅黑" w:eastAsia="微软雅黑" w:cs="微软雅黑"/>
                <w:i w:val="0"/>
                <w:iCs w:val="0"/>
                <w:color w:val="000000"/>
                <w:sz w:val="16"/>
                <w:szCs w:val="16"/>
                <w:u w:val="none"/>
              </w:rPr>
            </w:pPr>
          </w:p>
        </w:tc>
      </w:tr>
      <w:tr w14:paraId="45424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E7850">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F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C9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F3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培训对象满意度指标率</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3F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C6F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1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9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C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5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52AE">
            <w:pPr>
              <w:jc w:val="center"/>
              <w:rPr>
                <w:rFonts w:hint="default" w:ascii="微软雅黑" w:hAnsi="微软雅黑" w:eastAsia="微软雅黑" w:cs="微软雅黑"/>
                <w:i w:val="0"/>
                <w:iCs w:val="0"/>
                <w:color w:val="000000"/>
                <w:sz w:val="16"/>
                <w:szCs w:val="16"/>
                <w:u w:val="none"/>
              </w:rPr>
            </w:pPr>
          </w:p>
        </w:tc>
      </w:tr>
      <w:tr w14:paraId="3E405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71AB1">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1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99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D2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全年各项统计工作培训会</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5EC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CC9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3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8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0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B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FB0E">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年终培训为12月结账，存在应付账款。</w:t>
            </w:r>
          </w:p>
        </w:tc>
      </w:tr>
      <w:tr w14:paraId="25F3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C2F3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0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7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81F2">
            <w:pPr>
              <w:rPr>
                <w:rFonts w:hint="eastAsia" w:ascii="宋体" w:hAnsi="宋体" w:eastAsia="宋体" w:cs="宋体"/>
                <w:i w:val="0"/>
                <w:iCs w:val="0"/>
                <w:color w:val="000000"/>
                <w:sz w:val="18"/>
                <w:szCs w:val="18"/>
                <w:u w:val="none"/>
              </w:rPr>
            </w:pPr>
          </w:p>
        </w:tc>
      </w:tr>
      <w:tr w14:paraId="00D9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C0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1684E964">
            <w:pPr>
              <w:keepNext w:val="0"/>
              <w:keepLines w:val="0"/>
              <w:widowControl/>
              <w:suppressLineNumbers w:val="0"/>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项目自评总分98分，年终完成了各类统计业务培训，资金预算执行率为82.86%，整体绩效较好，存在跨年支付情况。</w:t>
            </w:r>
          </w:p>
        </w:tc>
      </w:tr>
      <w:tr w14:paraId="02BF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A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A722B9F">
            <w:pPr>
              <w:keepNext w:val="0"/>
              <w:keepLines w:val="0"/>
              <w:widowControl/>
              <w:suppressLineNumbers w:val="0"/>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部分年报培训会召开时间为12月，存在跨年支付的情况，导致部分培训费执行滞后。</w:t>
            </w:r>
          </w:p>
        </w:tc>
      </w:tr>
      <w:tr w14:paraId="3B42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E3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0074C18">
            <w:pPr>
              <w:keepNext w:val="0"/>
              <w:keepLines w:val="0"/>
              <w:widowControl/>
              <w:suppressLineNumbers w:val="0"/>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财务人员实时关注预算执行情况，及时反馈监控结果至相关业务科室，提醒业务科室注意全年目标任务完成情况，为绩效目标的有效实现提供有力支撑。</w:t>
            </w:r>
          </w:p>
        </w:tc>
      </w:tr>
      <w:tr w14:paraId="1ABD8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B0501F">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项目负责人：张林辉</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AEB0DFC">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0548C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AA61A1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77165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FB5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68814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51080021T000000051658-统计年鉴、月报、季报、统计资料制作经费</w:t>
            </w:r>
          </w:p>
        </w:tc>
      </w:tr>
      <w:tr w14:paraId="0733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DAB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64F8C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41D038CF">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72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232B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0C2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68B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E294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1410C4">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64BB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27F75">
            <w:pP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4766F">
            <w:pPr>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72409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编印《统计月报》《领导干部经济工作手册》《统计</w:t>
            </w:r>
            <w:r>
              <w:rPr>
                <w:rFonts w:hint="eastAsia" w:ascii="宋体" w:hAnsi="宋体" w:cs="宋体"/>
                <w:i w:val="0"/>
                <w:iCs w:val="0"/>
                <w:color w:val="000000"/>
                <w:kern w:val="0"/>
                <w:sz w:val="18"/>
                <w:szCs w:val="18"/>
                <w:u w:val="none"/>
                <w:lang w:val="en-US" w:eastAsia="zh-CN" w:bidi="ar"/>
              </w:rPr>
              <w:t>数据</w:t>
            </w:r>
            <w:r>
              <w:rPr>
                <w:rFonts w:ascii="宋体" w:hAnsi="宋体" w:eastAsia="宋体" w:cs="宋体"/>
                <w:i w:val="0"/>
                <w:iCs w:val="0"/>
                <w:color w:val="000000"/>
                <w:kern w:val="0"/>
                <w:sz w:val="18"/>
                <w:szCs w:val="18"/>
                <w:u w:val="none"/>
                <w:lang w:val="en-US" w:eastAsia="zh-CN" w:bidi="ar"/>
              </w:rPr>
              <w:t>》《数说广元》《工业经济快报》《投资运行快报》《批零住餐业快报》等拳头产品。新编印《“四上”单位入库月报》《规模以上服务业企业快报》《全省分市州及全市分县区月度主要经济指标》等</w:t>
            </w:r>
            <w:r>
              <w:rPr>
                <w:rFonts w:hint="eastAsia" w:ascii="宋体" w:hAnsi="宋体" w:cs="宋体"/>
                <w:i w:val="0"/>
                <w:iCs w:val="0"/>
                <w:color w:val="000000"/>
                <w:kern w:val="0"/>
                <w:sz w:val="18"/>
                <w:szCs w:val="18"/>
                <w:u w:val="none"/>
                <w:lang w:val="en-US" w:eastAsia="zh-CN" w:bidi="ar"/>
              </w:rPr>
              <w:t>统计</w:t>
            </w:r>
            <w:r>
              <w:rPr>
                <w:rFonts w:ascii="宋体" w:hAnsi="宋体" w:eastAsia="宋体" w:cs="宋体"/>
                <w:i w:val="0"/>
                <w:iCs w:val="0"/>
                <w:color w:val="000000"/>
                <w:kern w:val="0"/>
                <w:sz w:val="18"/>
                <w:szCs w:val="18"/>
                <w:u w:val="none"/>
                <w:lang w:val="en-US" w:eastAsia="zh-CN" w:bidi="ar"/>
              </w:rPr>
              <w:t>资料；按需向市领导提供定制化统计服务等</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149F88">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所有项目全部完成，预算13.14万元，执行率为100%，年终无结余。</w:t>
            </w:r>
          </w:p>
        </w:tc>
      </w:tr>
      <w:tr w14:paraId="11F4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138CB">
            <w:pP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A2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BD6AA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按期编印广元统计月报、工业经济快报、投资快报等10余种统计快报，认真编印《领导干部工作手册》等统计产品</w:t>
            </w:r>
          </w:p>
        </w:tc>
      </w:tr>
      <w:tr w14:paraId="7AE2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C1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7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0B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A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2803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F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1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0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E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2AF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181C2">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6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FB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13.14</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E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13.14</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12B3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0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7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E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AF7E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0590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9235C">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2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1E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13.14</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4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13.14</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30FD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B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C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D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C4BDF">
            <w:pPr>
              <w:rPr>
                <w:rFonts w:hint="default" w:ascii="黑体" w:hAnsi="黑体" w:eastAsia="黑体" w:cs="黑体"/>
                <w:i w:val="0"/>
                <w:iCs w:val="0"/>
                <w:color w:val="000000"/>
                <w:sz w:val="18"/>
                <w:szCs w:val="18"/>
                <w:u w:val="none"/>
              </w:rPr>
            </w:pPr>
          </w:p>
        </w:tc>
      </w:tr>
      <w:tr w14:paraId="4B32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C3B8F">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5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CE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1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2F50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2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1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9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35240">
            <w:pPr>
              <w:rPr>
                <w:rFonts w:hint="default" w:ascii="黑体" w:hAnsi="黑体" w:eastAsia="黑体" w:cs="黑体"/>
                <w:i w:val="0"/>
                <w:iCs w:val="0"/>
                <w:color w:val="000000"/>
                <w:sz w:val="18"/>
                <w:szCs w:val="18"/>
                <w:u w:val="none"/>
              </w:rPr>
            </w:pPr>
          </w:p>
        </w:tc>
      </w:tr>
      <w:tr w14:paraId="5EA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D50DB">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8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80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7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2D04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2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8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1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43317">
            <w:pPr>
              <w:rPr>
                <w:rFonts w:hint="default" w:ascii="黑体" w:hAnsi="黑体" w:eastAsia="黑体" w:cs="黑体"/>
                <w:i w:val="0"/>
                <w:iCs w:val="0"/>
                <w:color w:val="000000"/>
                <w:sz w:val="18"/>
                <w:szCs w:val="18"/>
                <w:u w:val="none"/>
              </w:rPr>
            </w:pPr>
          </w:p>
        </w:tc>
      </w:tr>
      <w:tr w14:paraId="3C9D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AB704">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D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B3015">
            <w:pPr>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BFBB">
            <w:pPr>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10D85F8">
            <w:pPr>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6141">
            <w:pPr>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9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F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67236">
            <w:pPr>
              <w:rPr>
                <w:rFonts w:hint="default" w:ascii="黑体" w:hAnsi="黑体" w:eastAsia="黑体" w:cs="黑体"/>
                <w:i w:val="0"/>
                <w:iCs w:val="0"/>
                <w:color w:val="000000"/>
                <w:sz w:val="18"/>
                <w:szCs w:val="18"/>
                <w:u w:val="none"/>
              </w:rPr>
            </w:pPr>
          </w:p>
        </w:tc>
      </w:tr>
      <w:tr w14:paraId="3BED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B0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8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16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85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997F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8410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9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w:t>
            </w:r>
          </w:p>
          <w:p w14:paraId="03F37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4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C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5B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5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A73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ABAE2">
            <w:pPr>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3C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8D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D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统计分析及统计调研报告</w:t>
            </w:r>
          </w:p>
        </w:tc>
        <w:tc>
          <w:tcPr>
            <w:tcW w:w="1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CBB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B0E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9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C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7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5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B5F1">
            <w:pPr>
              <w:jc w:val="center"/>
              <w:rPr>
                <w:rFonts w:hint="default" w:ascii="微软雅黑" w:hAnsi="微软雅黑" w:eastAsia="微软雅黑" w:cs="微软雅黑"/>
                <w:i w:val="0"/>
                <w:iCs w:val="0"/>
                <w:color w:val="000000"/>
                <w:sz w:val="16"/>
                <w:szCs w:val="16"/>
                <w:u w:val="none"/>
              </w:rPr>
            </w:pPr>
          </w:p>
        </w:tc>
      </w:tr>
      <w:tr w14:paraId="3A60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4"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96E9D">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475C">
            <w:pPr>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32CB7">
            <w:pPr>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83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17"/>
                <w:kern w:val="0"/>
                <w:sz w:val="18"/>
                <w:szCs w:val="18"/>
                <w:u w:val="none"/>
                <w:lang w:val="en-US" w:eastAsia="zh-CN" w:bidi="ar"/>
              </w:rPr>
              <w:t>《广元统计月报》《领导干部经济工作手册》《统计数据》《数说广元》《工业经济快报》《投资运行快报》《批零住餐业快报》等拳头产品。新编印《“四上”单位入库月报》等统计产品印制数</w:t>
            </w:r>
          </w:p>
        </w:tc>
        <w:tc>
          <w:tcPr>
            <w:tcW w:w="1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AE9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630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3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E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4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9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D2F7">
            <w:pPr>
              <w:jc w:val="center"/>
              <w:rPr>
                <w:rFonts w:hint="default" w:ascii="微软雅黑" w:hAnsi="微软雅黑" w:eastAsia="微软雅黑" w:cs="微软雅黑"/>
                <w:i w:val="0"/>
                <w:iCs w:val="0"/>
                <w:color w:val="000000"/>
                <w:sz w:val="16"/>
                <w:szCs w:val="16"/>
                <w:u w:val="none"/>
              </w:rPr>
            </w:pPr>
          </w:p>
        </w:tc>
      </w:tr>
      <w:tr w14:paraId="4EF3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BE129">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E9517">
            <w:pPr>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D9195">
            <w:pPr>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BC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提供数据咨询</w:t>
            </w:r>
          </w:p>
        </w:tc>
        <w:tc>
          <w:tcPr>
            <w:tcW w:w="1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091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5D4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1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F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E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3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A6B0">
            <w:pPr>
              <w:jc w:val="center"/>
              <w:rPr>
                <w:rFonts w:hint="default" w:ascii="微软雅黑" w:hAnsi="微软雅黑" w:eastAsia="微软雅黑" w:cs="微软雅黑"/>
                <w:i w:val="0"/>
                <w:iCs w:val="0"/>
                <w:color w:val="000000"/>
                <w:sz w:val="16"/>
                <w:szCs w:val="16"/>
                <w:u w:val="none"/>
              </w:rPr>
            </w:pPr>
          </w:p>
        </w:tc>
      </w:tr>
      <w:tr w14:paraId="6B654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750E4">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04546">
            <w:pPr>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EE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C6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11"/>
                <w:kern w:val="0"/>
                <w:sz w:val="18"/>
                <w:szCs w:val="18"/>
                <w:u w:val="none"/>
                <w:lang w:val="en-US" w:eastAsia="zh-CN" w:bidi="ar"/>
              </w:rPr>
              <w:t>统计产品印制质量满足合同要求</w:t>
            </w:r>
          </w:p>
        </w:tc>
        <w:tc>
          <w:tcPr>
            <w:tcW w:w="1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F6D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0E7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0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4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6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6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C095">
            <w:pPr>
              <w:jc w:val="center"/>
              <w:rPr>
                <w:rFonts w:hint="default" w:ascii="微软雅黑" w:hAnsi="微软雅黑" w:eastAsia="微软雅黑" w:cs="微软雅黑"/>
                <w:i w:val="0"/>
                <w:iCs w:val="0"/>
                <w:color w:val="000000"/>
                <w:sz w:val="16"/>
                <w:szCs w:val="16"/>
                <w:u w:val="none"/>
              </w:rPr>
            </w:pPr>
          </w:p>
        </w:tc>
      </w:tr>
      <w:tr w14:paraId="29671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19C93">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75A3D">
            <w:pPr>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22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6E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统计产品印制完成时间</w:t>
            </w:r>
          </w:p>
        </w:tc>
        <w:tc>
          <w:tcPr>
            <w:tcW w:w="1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1DB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614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C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个工作日</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B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6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4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8A47">
            <w:pPr>
              <w:jc w:val="center"/>
              <w:rPr>
                <w:rFonts w:hint="default" w:ascii="微软雅黑" w:hAnsi="微软雅黑" w:eastAsia="微软雅黑" w:cs="微软雅黑"/>
                <w:i w:val="0"/>
                <w:iCs w:val="0"/>
                <w:color w:val="000000"/>
                <w:sz w:val="16"/>
                <w:szCs w:val="16"/>
                <w:u w:val="none"/>
              </w:rPr>
            </w:pPr>
          </w:p>
        </w:tc>
      </w:tr>
      <w:tr w14:paraId="5787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98DC">
            <w:pPr>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2B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92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A0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提供促进作用和可运用数据分析</w:t>
            </w:r>
          </w:p>
        </w:tc>
        <w:tc>
          <w:tcPr>
            <w:tcW w:w="1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DD2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8AD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0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篇</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8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B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2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808C">
            <w:pPr>
              <w:jc w:val="center"/>
              <w:rPr>
                <w:rFonts w:hint="default" w:ascii="微软雅黑" w:hAnsi="微软雅黑" w:eastAsia="微软雅黑" w:cs="微软雅黑"/>
                <w:i w:val="0"/>
                <w:iCs w:val="0"/>
                <w:color w:val="000000"/>
                <w:sz w:val="16"/>
                <w:szCs w:val="16"/>
                <w:u w:val="none"/>
              </w:rPr>
            </w:pPr>
          </w:p>
        </w:tc>
      </w:tr>
      <w:tr w14:paraId="1D6A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BE28A">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8A918">
            <w:pPr>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BF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5E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统计产品数据利用年限</w:t>
            </w:r>
          </w:p>
        </w:tc>
        <w:tc>
          <w:tcPr>
            <w:tcW w:w="1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205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E36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5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3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A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1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3892">
            <w:pPr>
              <w:jc w:val="center"/>
              <w:rPr>
                <w:rFonts w:hint="default" w:ascii="微软雅黑" w:hAnsi="微软雅黑" w:eastAsia="微软雅黑" w:cs="微软雅黑"/>
                <w:i w:val="0"/>
                <w:iCs w:val="0"/>
                <w:color w:val="000000"/>
                <w:sz w:val="16"/>
                <w:szCs w:val="16"/>
                <w:u w:val="none"/>
              </w:rPr>
            </w:pPr>
          </w:p>
        </w:tc>
      </w:tr>
      <w:tr w14:paraId="0BF58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E8FC9">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E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2E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A0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市委市政府及各部门对统计产品利用率满意度</w:t>
            </w:r>
          </w:p>
        </w:tc>
        <w:tc>
          <w:tcPr>
            <w:tcW w:w="1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279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A5E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A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E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0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3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DCEA">
            <w:pPr>
              <w:jc w:val="center"/>
              <w:rPr>
                <w:rFonts w:hint="default" w:ascii="微软雅黑" w:hAnsi="微软雅黑" w:eastAsia="微软雅黑" w:cs="微软雅黑"/>
                <w:i w:val="0"/>
                <w:iCs w:val="0"/>
                <w:color w:val="000000"/>
                <w:sz w:val="16"/>
                <w:szCs w:val="16"/>
                <w:u w:val="none"/>
              </w:rPr>
            </w:pPr>
          </w:p>
        </w:tc>
      </w:tr>
      <w:tr w14:paraId="25C5B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A2DD5">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6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2F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B5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定制统计产品成本</w:t>
            </w:r>
          </w:p>
        </w:tc>
        <w:tc>
          <w:tcPr>
            <w:tcW w:w="1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BB8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B34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D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2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E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9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A157">
            <w:pPr>
              <w:jc w:val="center"/>
              <w:rPr>
                <w:rFonts w:hint="default" w:ascii="微软雅黑" w:hAnsi="微软雅黑" w:eastAsia="微软雅黑" w:cs="微软雅黑"/>
                <w:i w:val="0"/>
                <w:iCs w:val="0"/>
                <w:color w:val="000000"/>
                <w:sz w:val="16"/>
                <w:szCs w:val="16"/>
                <w:u w:val="none"/>
              </w:rPr>
            </w:pPr>
          </w:p>
        </w:tc>
      </w:tr>
      <w:tr w14:paraId="1B4F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A7AB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E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D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3173">
            <w:pPr>
              <w:rPr>
                <w:rFonts w:hint="eastAsia" w:ascii="宋体" w:hAnsi="宋体" w:eastAsia="宋体" w:cs="宋体"/>
                <w:i w:val="0"/>
                <w:iCs w:val="0"/>
                <w:color w:val="000000"/>
                <w:sz w:val="18"/>
                <w:szCs w:val="18"/>
                <w:u w:val="none"/>
              </w:rPr>
            </w:pPr>
          </w:p>
        </w:tc>
      </w:tr>
      <w:tr w14:paraId="5C1D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13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1304279">
            <w:pPr>
              <w:keepNext w:val="0"/>
              <w:keepLines w:val="0"/>
              <w:widowControl/>
              <w:suppressLineNumbers w:val="0"/>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项目自评总分100分，编印的各类统计资料为党委政府及社会各界提供了优质的统计服务，年终无结余，预算执行率为100%。</w:t>
            </w:r>
          </w:p>
        </w:tc>
      </w:tr>
      <w:tr w14:paraId="3F0DA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0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85ED680">
            <w:pPr>
              <w:keepNext w:val="0"/>
              <w:keepLines w:val="0"/>
              <w:widowControl/>
              <w:suppressLineNumbers w:val="0"/>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无</w:t>
            </w:r>
          </w:p>
        </w:tc>
      </w:tr>
      <w:tr w14:paraId="399A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F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91CEE98">
            <w:pPr>
              <w:keepNext w:val="0"/>
              <w:keepLines w:val="0"/>
              <w:widowControl/>
              <w:suppressLineNumbers w:val="0"/>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无</w:t>
            </w:r>
          </w:p>
        </w:tc>
      </w:tr>
      <w:tr w14:paraId="745D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D988AF">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项目负责人：张林辉</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6542D1E">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7CE3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570146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6C56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091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802C5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51080021T000000051764-统计等保测评信息化运维项目</w:t>
            </w:r>
          </w:p>
        </w:tc>
      </w:tr>
      <w:tr w14:paraId="2558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2C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E2D03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427BD662">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9C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1CA14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864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C4E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7A36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779C16">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1625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1B47C">
            <w:pP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9847F">
            <w:pPr>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F6494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局信息化建设顺利推进，提升全市统计系统信息化水平，确保统计数据及时准确收集，为市委市政府决策提供参考依据，完成统计“一套表”平台、五证合一平台、四川统计综合管理平台、统计多个业务系统、中心机房等的建设运维和网络信息安全保障，推进系统整合共享。完成年度重要信息系统等级保护测评工作。</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C699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年终全局信息化运维相关工作的顺利完成，预算执行率100%，年终无结余。</w:t>
            </w:r>
          </w:p>
        </w:tc>
      </w:tr>
      <w:tr w14:paraId="3CB39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54EFE">
            <w:pP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8E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B2DC4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时监测网络安全，按期完成测评及维护等工作，确保统计数据及时准确收集，完成统计“一套表”平台、五证合一平台、四川统计综合管理平台、统计多个业务系统、中心机房等的建设运维和网络信息安全保障，推进系统整合共享。</w:t>
            </w:r>
          </w:p>
        </w:tc>
      </w:tr>
      <w:tr w14:paraId="5D0B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52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9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99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7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3D46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A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C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2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B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BEE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FF38B">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8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BE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6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BA92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4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A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6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CAFF7">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6E0E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15E95">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D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44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6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4195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7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4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D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DB49D">
            <w:pPr>
              <w:rPr>
                <w:rFonts w:hint="default" w:ascii="黑体" w:hAnsi="黑体" w:eastAsia="黑体" w:cs="黑体"/>
                <w:i w:val="0"/>
                <w:iCs w:val="0"/>
                <w:color w:val="000000"/>
                <w:sz w:val="18"/>
                <w:szCs w:val="18"/>
                <w:u w:val="none"/>
              </w:rPr>
            </w:pPr>
          </w:p>
        </w:tc>
      </w:tr>
      <w:tr w14:paraId="0F92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F1D44">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F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FB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2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3266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8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9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4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8483D">
            <w:pPr>
              <w:rPr>
                <w:rFonts w:hint="default" w:ascii="黑体" w:hAnsi="黑体" w:eastAsia="黑体" w:cs="黑体"/>
                <w:i w:val="0"/>
                <w:iCs w:val="0"/>
                <w:color w:val="000000"/>
                <w:sz w:val="18"/>
                <w:szCs w:val="18"/>
                <w:u w:val="none"/>
              </w:rPr>
            </w:pPr>
          </w:p>
        </w:tc>
      </w:tr>
      <w:tr w14:paraId="1E3D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E490E">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9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04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F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6ECB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B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A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9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6E0B3">
            <w:pPr>
              <w:rPr>
                <w:rFonts w:hint="default" w:ascii="黑体" w:hAnsi="黑体" w:eastAsia="黑体" w:cs="黑体"/>
                <w:i w:val="0"/>
                <w:iCs w:val="0"/>
                <w:color w:val="000000"/>
                <w:sz w:val="18"/>
                <w:szCs w:val="18"/>
                <w:u w:val="none"/>
              </w:rPr>
            </w:pPr>
          </w:p>
        </w:tc>
      </w:tr>
      <w:tr w14:paraId="1F2EB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6D46F">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4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FCEEE">
            <w:pPr>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C166">
            <w:pPr>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9923C20">
            <w:pPr>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6B21">
            <w:pPr>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E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D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80823">
            <w:pPr>
              <w:rPr>
                <w:rFonts w:hint="default" w:ascii="黑体" w:hAnsi="黑体" w:eastAsia="黑体" w:cs="黑体"/>
                <w:i w:val="0"/>
                <w:iCs w:val="0"/>
                <w:color w:val="000000"/>
                <w:sz w:val="18"/>
                <w:szCs w:val="18"/>
                <w:u w:val="none"/>
              </w:rPr>
            </w:pPr>
          </w:p>
        </w:tc>
      </w:tr>
      <w:tr w14:paraId="3721A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31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C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08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9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CCC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68C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267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w:t>
            </w:r>
          </w:p>
          <w:p w14:paraId="40758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B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7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8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5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031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E2B29">
            <w:pPr>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60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4A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86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机房设备更新升级、一套表平台、名录库综合管理平台套数</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988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795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2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F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E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0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B623">
            <w:pPr>
              <w:jc w:val="center"/>
              <w:rPr>
                <w:rFonts w:hint="default" w:ascii="微软雅黑" w:hAnsi="微软雅黑" w:eastAsia="微软雅黑" w:cs="微软雅黑"/>
                <w:i w:val="0"/>
                <w:iCs w:val="0"/>
                <w:color w:val="000000"/>
                <w:sz w:val="16"/>
                <w:szCs w:val="16"/>
                <w:u w:val="none"/>
              </w:rPr>
            </w:pPr>
          </w:p>
        </w:tc>
      </w:tr>
      <w:tr w14:paraId="374CA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1E299">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67698">
            <w:pPr>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B091A">
            <w:pPr>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72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信息化运维质量达标率。</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E9E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3B2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1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0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B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9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3055">
            <w:pPr>
              <w:jc w:val="center"/>
              <w:rPr>
                <w:rFonts w:hint="default" w:ascii="微软雅黑" w:hAnsi="微软雅黑" w:eastAsia="微软雅黑" w:cs="微软雅黑"/>
                <w:i w:val="0"/>
                <w:iCs w:val="0"/>
                <w:color w:val="000000"/>
                <w:sz w:val="16"/>
                <w:szCs w:val="16"/>
                <w:u w:val="none"/>
              </w:rPr>
            </w:pPr>
          </w:p>
        </w:tc>
      </w:tr>
      <w:tr w14:paraId="69BA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56B1C">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E27AA">
            <w:pPr>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0C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9D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中心机房测评、重点设备维护（保）率</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6D6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79B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A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0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2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8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67FA">
            <w:pPr>
              <w:jc w:val="center"/>
              <w:rPr>
                <w:rFonts w:hint="default" w:ascii="微软雅黑" w:hAnsi="微软雅黑" w:eastAsia="微软雅黑" w:cs="微软雅黑"/>
                <w:i w:val="0"/>
                <w:iCs w:val="0"/>
                <w:color w:val="000000"/>
                <w:sz w:val="16"/>
                <w:szCs w:val="16"/>
                <w:u w:val="none"/>
              </w:rPr>
            </w:pPr>
          </w:p>
        </w:tc>
      </w:tr>
      <w:tr w14:paraId="3141B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5B632">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9B959">
            <w:pPr>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62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2D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按期完成测评及维护</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C9D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2B6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8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9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0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E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BD24">
            <w:pPr>
              <w:jc w:val="center"/>
              <w:rPr>
                <w:rFonts w:hint="default" w:ascii="微软雅黑" w:hAnsi="微软雅黑" w:eastAsia="微软雅黑" w:cs="微软雅黑"/>
                <w:i w:val="0"/>
                <w:iCs w:val="0"/>
                <w:color w:val="000000"/>
                <w:sz w:val="16"/>
                <w:szCs w:val="16"/>
                <w:u w:val="none"/>
              </w:rPr>
            </w:pPr>
          </w:p>
        </w:tc>
      </w:tr>
      <w:tr w14:paraId="59BD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9B040">
            <w:pPr>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F8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24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24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统计信息系统得到应用比率</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E72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870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6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2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B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9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9068">
            <w:pPr>
              <w:jc w:val="center"/>
              <w:rPr>
                <w:rFonts w:hint="default" w:ascii="微软雅黑" w:hAnsi="微软雅黑" w:eastAsia="微软雅黑" w:cs="微软雅黑"/>
                <w:i w:val="0"/>
                <w:iCs w:val="0"/>
                <w:color w:val="000000"/>
                <w:sz w:val="16"/>
                <w:szCs w:val="16"/>
                <w:u w:val="none"/>
              </w:rPr>
            </w:pPr>
          </w:p>
        </w:tc>
      </w:tr>
      <w:tr w14:paraId="22D5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5F7C4">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A44EE">
            <w:pPr>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AC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6E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6"/>
                <w:kern w:val="0"/>
                <w:sz w:val="18"/>
                <w:szCs w:val="18"/>
                <w:u w:val="none"/>
                <w:lang w:val="en-US" w:eastAsia="zh-CN" w:bidi="ar"/>
              </w:rPr>
              <w:t>与国家、省级平台有效衔接率</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772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653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E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2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9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A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D362">
            <w:pPr>
              <w:jc w:val="center"/>
              <w:rPr>
                <w:rFonts w:hint="default" w:ascii="微软雅黑" w:hAnsi="微软雅黑" w:eastAsia="微软雅黑" w:cs="微软雅黑"/>
                <w:i w:val="0"/>
                <w:iCs w:val="0"/>
                <w:color w:val="000000"/>
                <w:sz w:val="16"/>
                <w:szCs w:val="16"/>
                <w:u w:val="none"/>
              </w:rPr>
            </w:pPr>
          </w:p>
        </w:tc>
      </w:tr>
      <w:tr w14:paraId="188D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15B72">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0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D4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8A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统计专业科室对统计专网和统计平台使用认可度达</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4FC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5A0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2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7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D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6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3B3B">
            <w:pPr>
              <w:jc w:val="center"/>
              <w:rPr>
                <w:rFonts w:hint="default" w:ascii="微软雅黑" w:hAnsi="微软雅黑" w:eastAsia="微软雅黑" w:cs="微软雅黑"/>
                <w:i w:val="0"/>
                <w:iCs w:val="0"/>
                <w:color w:val="000000"/>
                <w:sz w:val="16"/>
                <w:szCs w:val="16"/>
                <w:u w:val="none"/>
              </w:rPr>
            </w:pPr>
          </w:p>
        </w:tc>
      </w:tr>
      <w:tr w14:paraId="78907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2F63B">
            <w:pPr>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3D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8D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0F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等保测评费</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88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DCA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B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9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D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2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D578">
            <w:pPr>
              <w:jc w:val="center"/>
              <w:rPr>
                <w:rFonts w:hint="default" w:ascii="微软雅黑" w:hAnsi="微软雅黑" w:eastAsia="微软雅黑" w:cs="微软雅黑"/>
                <w:i w:val="0"/>
                <w:iCs w:val="0"/>
                <w:color w:val="000000"/>
                <w:sz w:val="16"/>
                <w:szCs w:val="16"/>
                <w:u w:val="none"/>
              </w:rPr>
            </w:pPr>
          </w:p>
        </w:tc>
      </w:tr>
      <w:tr w14:paraId="1227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069A0">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EB4A1">
            <w:pPr>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89A35">
            <w:pPr>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08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信息化运维材料及服务经费</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8F5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31E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A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1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F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E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76D6">
            <w:pPr>
              <w:jc w:val="center"/>
              <w:rPr>
                <w:rFonts w:hint="default" w:ascii="微软雅黑" w:hAnsi="微软雅黑" w:eastAsia="微软雅黑" w:cs="微软雅黑"/>
                <w:i w:val="0"/>
                <w:iCs w:val="0"/>
                <w:color w:val="000000"/>
                <w:sz w:val="16"/>
                <w:szCs w:val="16"/>
                <w:u w:val="none"/>
              </w:rPr>
            </w:pPr>
          </w:p>
        </w:tc>
      </w:tr>
      <w:tr w14:paraId="4FE6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6872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1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3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EAF4">
            <w:pPr>
              <w:rPr>
                <w:rFonts w:hint="eastAsia" w:ascii="宋体" w:hAnsi="宋体" w:eastAsia="宋体" w:cs="宋体"/>
                <w:i w:val="0"/>
                <w:iCs w:val="0"/>
                <w:color w:val="000000"/>
                <w:sz w:val="18"/>
                <w:szCs w:val="18"/>
                <w:u w:val="none"/>
              </w:rPr>
            </w:pPr>
          </w:p>
        </w:tc>
      </w:tr>
      <w:tr w14:paraId="33E3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5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7121450">
            <w:pPr>
              <w:keepNext w:val="0"/>
              <w:keepLines w:val="0"/>
              <w:widowControl/>
              <w:suppressLineNumbers w:val="0"/>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项目自评总分100分，全局信息化运维相关工作的顺利完成，年终无结余，预算执行率100%。</w:t>
            </w:r>
          </w:p>
        </w:tc>
      </w:tr>
      <w:tr w14:paraId="2877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B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B22617E">
            <w:pPr>
              <w:keepNext w:val="0"/>
              <w:keepLines w:val="0"/>
              <w:widowControl/>
              <w:suppressLineNumbers w:val="0"/>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无</w:t>
            </w:r>
          </w:p>
        </w:tc>
      </w:tr>
      <w:tr w14:paraId="723D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1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C6EDB16">
            <w:pPr>
              <w:keepNext w:val="0"/>
              <w:keepLines w:val="0"/>
              <w:widowControl/>
              <w:suppressLineNumbers w:val="0"/>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无</w:t>
            </w:r>
          </w:p>
        </w:tc>
      </w:tr>
      <w:tr w14:paraId="2A109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58F73D">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项目负责人：向姗姗</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7ED2BE7">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2E139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E2F529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7EC3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AE9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C6048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51080021T000000051803-统计调查专项经费</w:t>
            </w:r>
          </w:p>
        </w:tc>
      </w:tr>
      <w:tr w14:paraId="6D643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970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E6DB8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273248A8">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A7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58F63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C55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EEE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40F5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F480FA">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7DD12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ED909">
            <w:pP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5428C">
            <w:pPr>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771D1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实施全市第一、二、三产业各行业统计调查。全市人口抽样变动调查、劳动工资、经济运行、文化产业、亿元项目、固定资产投资、建筑业、房地产业的统计调查，对投资项目、房地产市场运行情况、投入产出调查、夏收粮产量调查等；收集、整理和提供有关统计调查数据，对有关数据质量进行检查和评估，检查指导有关专业统计基础工作；进行统计分析。</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EC1681">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年终各类统计调查工作顺利完成，形成了高质量统计数据调研报告，预算资金支付100%。年终无结余。</w:t>
            </w:r>
          </w:p>
        </w:tc>
      </w:tr>
      <w:tr w14:paraId="0597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0DD7E">
            <w:pP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C9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BD4F6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实施国民经济各领域2023年统计年报和2024年定期报表制度，全年开展了2024年人口变动抽样调查、新进规工业和规上工业核查、规模以下服务业抽样调查、广元企业创新调查、2024年劳动工资季报数据核查等各项专业调查，并协助省局完成住宿业等多项快速调查，形成高质量调研报告，为经济决策提供了参考。</w:t>
            </w:r>
          </w:p>
        </w:tc>
      </w:tr>
      <w:tr w14:paraId="5E7E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1A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A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43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7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FBAC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6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F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3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8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791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0A64D">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0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03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1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9EA8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5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2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4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B4FE6">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2DC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AFD05">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2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85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2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6D3B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6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8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64AA6">
            <w:pPr>
              <w:rPr>
                <w:rFonts w:hint="default" w:ascii="黑体" w:hAnsi="黑体" w:eastAsia="黑体" w:cs="黑体"/>
                <w:i w:val="0"/>
                <w:iCs w:val="0"/>
                <w:color w:val="000000"/>
                <w:sz w:val="18"/>
                <w:szCs w:val="18"/>
                <w:u w:val="none"/>
              </w:rPr>
            </w:pPr>
          </w:p>
        </w:tc>
      </w:tr>
      <w:tr w14:paraId="3567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12241">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8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58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E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0A98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6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5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5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EAE2F">
            <w:pPr>
              <w:rPr>
                <w:rFonts w:hint="default" w:ascii="黑体" w:hAnsi="黑体" w:eastAsia="黑体" w:cs="黑体"/>
                <w:i w:val="0"/>
                <w:iCs w:val="0"/>
                <w:color w:val="000000"/>
                <w:sz w:val="18"/>
                <w:szCs w:val="18"/>
                <w:u w:val="none"/>
              </w:rPr>
            </w:pPr>
          </w:p>
        </w:tc>
      </w:tr>
      <w:tr w14:paraId="754C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2AEEB">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A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E5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8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EF42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8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1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5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A4AC">
            <w:pPr>
              <w:rPr>
                <w:rFonts w:hint="default" w:ascii="黑体" w:hAnsi="黑体" w:eastAsia="黑体" w:cs="黑体"/>
                <w:i w:val="0"/>
                <w:iCs w:val="0"/>
                <w:color w:val="000000"/>
                <w:sz w:val="18"/>
                <w:szCs w:val="18"/>
                <w:u w:val="none"/>
              </w:rPr>
            </w:pPr>
          </w:p>
        </w:tc>
      </w:tr>
      <w:tr w14:paraId="1677B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EDDEB">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9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BD3B1">
            <w:pPr>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4D50">
            <w:pPr>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AEC80AC">
            <w:pPr>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844E">
            <w:pPr>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4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9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1B96C">
            <w:pPr>
              <w:rPr>
                <w:rFonts w:hint="default" w:ascii="黑体" w:hAnsi="黑体" w:eastAsia="黑体" w:cs="黑体"/>
                <w:i w:val="0"/>
                <w:iCs w:val="0"/>
                <w:color w:val="000000"/>
                <w:sz w:val="18"/>
                <w:szCs w:val="18"/>
                <w:u w:val="none"/>
              </w:rPr>
            </w:pPr>
          </w:p>
        </w:tc>
      </w:tr>
      <w:tr w14:paraId="2F55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8E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95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DA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E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3C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AFB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D5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w:t>
            </w:r>
          </w:p>
          <w:p w14:paraId="5D65BD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A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F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2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B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0F0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112F1">
            <w:pPr>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5A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16F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8D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2024年人口变动抽样调查</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C8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640A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86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6C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D7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F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CB88">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35611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1B3BE">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89F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655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1A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新进规工业和规上工业核查</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35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A1B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A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8A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0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4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37FF">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6B52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7B42C">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FDE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E45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5F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规模以下服务业抽样调查</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3F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0D8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0E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17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3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4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5A28">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167FD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994BA">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32C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E7B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AE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广元企业创新调查</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54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045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AF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4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E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C6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E0BB">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6402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57CB5">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A8F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2BC7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64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企业研发调查企业</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EF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979A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C7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1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3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5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6D25">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2AD6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A44DC">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10F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32F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CE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6"/>
                <w:kern w:val="0"/>
                <w:sz w:val="18"/>
                <w:szCs w:val="18"/>
                <w:u w:val="none"/>
                <w:lang w:val="en-US" w:eastAsia="zh-CN" w:bidi="ar"/>
              </w:rPr>
              <w:t>2024年劳动工资季报数据核查</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0D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553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F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62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4A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2C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717A">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75DF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8F018">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BE1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BB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12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重大政策落实情况满意度绝对误差</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31C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3C3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71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41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0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C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8F12">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434E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13172">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2CC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0F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17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完成调查任务并形成调查报告时间</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20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CCD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A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3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5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9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1BB1">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2B34C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0AD9">
            <w:pPr>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3DC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098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73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调查数据使用</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ECE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28F9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74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8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4E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D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4D86">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1143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F9FAE">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339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62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87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数据影响年限</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9F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F91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4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3B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2D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1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36BD">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0F2EF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1C43B">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D8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AC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D2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重大政策落实情况满意度调查获得用户认可度和被调查对象认可度</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CCA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7C9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A2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B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45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1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5FCF">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5331C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8DAF4">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6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6A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92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统计调查项目标准</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E2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E636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0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4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C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19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2A06">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4EE2A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CC84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4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A6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7E7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5D8C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2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1942B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项目自评总分100分，年终各类统计调查工作顺利完成，形成了高质量统计数据调研报告，年终无结余，预算执行率100%。</w:t>
            </w:r>
          </w:p>
        </w:tc>
      </w:tr>
      <w:tr w14:paraId="1046B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08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9BCEE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无</w:t>
            </w:r>
          </w:p>
        </w:tc>
      </w:tr>
      <w:tr w14:paraId="4327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C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2D55A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无</w:t>
            </w:r>
          </w:p>
        </w:tc>
      </w:tr>
      <w:tr w14:paraId="6C9EE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860B36">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项目负责人：乔治聪</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A9FAC06">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17B5F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6CB3B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207B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903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6F1CB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51080022R000006844873-退休“中人”一次性退休补贴</w:t>
            </w:r>
          </w:p>
        </w:tc>
      </w:tr>
      <w:tr w14:paraId="5504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431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2EF87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76C5C3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E54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1F45D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297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4A4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38C4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D201A6">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03CA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C5B94">
            <w:pP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EF856">
            <w:pPr>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F934F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严格执行相关政策，保障退休“中人”一次性退休补贴及时、足额发放，预算编制科学合理，减少结余资金</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C399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退休人员“中人”一次性补贴及时补助到位，资金执行率100%。</w:t>
            </w:r>
          </w:p>
        </w:tc>
      </w:tr>
      <w:tr w14:paraId="50276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1A5DA">
            <w:pP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EB9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spacing w:val="-11"/>
                <w:kern w:val="0"/>
                <w:sz w:val="18"/>
                <w:szCs w:val="18"/>
                <w:u w:val="none"/>
                <w:lang w:val="en-US" w:eastAsia="zh-CN" w:bidi="ar"/>
              </w:rPr>
              <w:t>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02286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一次性补助到位，无结余</w:t>
            </w:r>
          </w:p>
        </w:tc>
      </w:tr>
      <w:tr w14:paraId="5BE8E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79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E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97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A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FB06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D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DE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B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E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177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ECEB5">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E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A1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9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2.41</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38D3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F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C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C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7D5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081C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DD916">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A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C1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6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2.41</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7392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2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E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E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739AA">
            <w:pPr>
              <w:rPr>
                <w:rFonts w:hint="default" w:ascii="黑体" w:hAnsi="黑体" w:eastAsia="黑体" w:cs="黑体"/>
                <w:i w:val="0"/>
                <w:iCs w:val="0"/>
                <w:color w:val="000000"/>
                <w:sz w:val="18"/>
                <w:szCs w:val="18"/>
                <w:u w:val="none"/>
              </w:rPr>
            </w:pPr>
          </w:p>
        </w:tc>
      </w:tr>
      <w:tr w14:paraId="396BD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4742E">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5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9E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D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8FD3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7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0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B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D7F2D">
            <w:pPr>
              <w:rPr>
                <w:rFonts w:hint="default" w:ascii="黑体" w:hAnsi="黑体" w:eastAsia="黑体" w:cs="黑体"/>
                <w:i w:val="0"/>
                <w:iCs w:val="0"/>
                <w:color w:val="000000"/>
                <w:sz w:val="18"/>
                <w:szCs w:val="18"/>
                <w:u w:val="none"/>
              </w:rPr>
            </w:pPr>
          </w:p>
        </w:tc>
      </w:tr>
      <w:tr w14:paraId="0029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30A77">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E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2F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1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3831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7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7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8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198D2">
            <w:pPr>
              <w:rPr>
                <w:rFonts w:hint="default" w:ascii="黑体" w:hAnsi="黑体" w:eastAsia="黑体" w:cs="黑体"/>
                <w:i w:val="0"/>
                <w:iCs w:val="0"/>
                <w:color w:val="000000"/>
                <w:sz w:val="18"/>
                <w:szCs w:val="18"/>
                <w:u w:val="none"/>
              </w:rPr>
            </w:pPr>
          </w:p>
        </w:tc>
      </w:tr>
      <w:tr w14:paraId="6E80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49246">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A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381A4">
            <w:pPr>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91F4">
            <w:pPr>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952BFF8">
            <w:pPr>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765A">
            <w:pPr>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C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A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8DA3F">
            <w:pPr>
              <w:rPr>
                <w:rFonts w:hint="default" w:ascii="黑体" w:hAnsi="黑体" w:eastAsia="黑体" w:cs="黑体"/>
                <w:i w:val="0"/>
                <w:iCs w:val="0"/>
                <w:color w:val="000000"/>
                <w:sz w:val="18"/>
                <w:szCs w:val="18"/>
                <w:u w:val="none"/>
              </w:rPr>
            </w:pPr>
          </w:p>
        </w:tc>
      </w:tr>
      <w:tr w14:paraId="198F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A31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7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CD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C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92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07A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40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  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5F0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5E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32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4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F0D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8C270">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C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E9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A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F7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1FD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5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0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A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B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9376">
            <w:pPr>
              <w:jc w:val="center"/>
              <w:rPr>
                <w:rFonts w:hint="default" w:ascii="微软雅黑" w:hAnsi="微软雅黑" w:eastAsia="微软雅黑" w:cs="微软雅黑"/>
                <w:i w:val="0"/>
                <w:iCs w:val="0"/>
                <w:color w:val="000000"/>
                <w:sz w:val="16"/>
                <w:szCs w:val="16"/>
                <w:u w:val="none"/>
              </w:rPr>
            </w:pPr>
          </w:p>
        </w:tc>
      </w:tr>
      <w:tr w14:paraId="7D58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49C17">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A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9C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D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2F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A49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3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D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F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9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A1E1">
            <w:pPr>
              <w:jc w:val="center"/>
              <w:rPr>
                <w:rFonts w:hint="default" w:ascii="微软雅黑" w:hAnsi="微软雅黑" w:eastAsia="微软雅黑" w:cs="微软雅黑"/>
                <w:i w:val="0"/>
                <w:iCs w:val="0"/>
                <w:color w:val="000000"/>
                <w:sz w:val="16"/>
                <w:szCs w:val="16"/>
                <w:u w:val="none"/>
              </w:rPr>
            </w:pPr>
          </w:p>
        </w:tc>
      </w:tr>
      <w:tr w14:paraId="2059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4109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2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8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7B40">
            <w:pPr>
              <w:rPr>
                <w:rFonts w:hint="eastAsia" w:ascii="宋体" w:hAnsi="宋体" w:eastAsia="宋体" w:cs="宋体"/>
                <w:i w:val="0"/>
                <w:iCs w:val="0"/>
                <w:color w:val="000000"/>
                <w:sz w:val="18"/>
                <w:szCs w:val="18"/>
                <w:u w:val="none"/>
              </w:rPr>
            </w:pPr>
          </w:p>
        </w:tc>
      </w:tr>
      <w:tr w14:paraId="2F72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FE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8CAB9A9">
            <w:pPr>
              <w:keepNext w:val="0"/>
              <w:keepLines w:val="0"/>
              <w:widowControl/>
              <w:suppressLineNumbers w:val="0"/>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项目自评总分100分，一次性补助到位，年终无结余，预算执行率100%。</w:t>
            </w:r>
          </w:p>
        </w:tc>
      </w:tr>
      <w:tr w14:paraId="7BB0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C2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1C0C6E2E">
            <w:pPr>
              <w:keepNext w:val="0"/>
              <w:keepLines w:val="0"/>
              <w:widowControl/>
              <w:suppressLineNumbers w:val="0"/>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无</w:t>
            </w:r>
          </w:p>
        </w:tc>
      </w:tr>
      <w:tr w14:paraId="6BA96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CC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85E721B">
            <w:pPr>
              <w:keepNext w:val="0"/>
              <w:keepLines w:val="0"/>
              <w:widowControl/>
              <w:suppressLineNumbers w:val="0"/>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无</w:t>
            </w:r>
          </w:p>
        </w:tc>
      </w:tr>
      <w:tr w14:paraId="5388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8C00B5">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项目负责人：刘阳</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019757A">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28CE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7B78EB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737D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CDC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32D67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51080022T000004922132-乡村振兴工作经费</w:t>
            </w:r>
          </w:p>
        </w:tc>
      </w:tr>
      <w:tr w14:paraId="26B49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4E6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133E7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0F5C99D1">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63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31A4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091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9A8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01D9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F586F1">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00B63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B97C3">
            <w:pP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308DE">
            <w:pPr>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E3EA9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利实现帮扶的剑阁县普安镇鹤鸣村基础设施建设不断提升，产业发展不断优化，通过项目建设，极大改善项目区群众生产生活条件，方便群众出行，有效解决搬迁群众生产用水；吸纳当地群众122人就业，直接参与项目建设人均增加劳务收入0.995万元；拟开展务工技能培训335人次，增强群众自我发展内生动力；拟设置公益性岗位4个，解决特殊劳动力就地就近就业4人，人均实现年增收0.36万元。</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C91D1A">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保障了驻村工作队员驻村补助相关差旅费，预算执行率100%</w:t>
            </w:r>
          </w:p>
        </w:tc>
      </w:tr>
      <w:tr w14:paraId="36BE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D9F0A">
            <w:pP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1F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D48AC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顺利实现帮扶的剑阁县普安镇鹤鸣村基础设施建设不断提升，产业发展不断优化，服务群众更加务实，基层组织建设更加有力，脱贫户持续稳定增收，推动巩固脱贫攻坚成果、接续推进乡村振兴各项工作。</w:t>
            </w:r>
          </w:p>
        </w:tc>
      </w:tr>
      <w:tr w14:paraId="0E25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46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2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81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2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CCCF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9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B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2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D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74FF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C73E0">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7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B7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1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CB43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1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6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2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E4279">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8BD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CA92B">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6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3D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0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2200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6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2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D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83F7E">
            <w:pPr>
              <w:rPr>
                <w:rFonts w:hint="default" w:ascii="黑体" w:hAnsi="黑体" w:eastAsia="黑体" w:cs="黑体"/>
                <w:i w:val="0"/>
                <w:iCs w:val="0"/>
                <w:color w:val="000000"/>
                <w:sz w:val="18"/>
                <w:szCs w:val="18"/>
                <w:u w:val="none"/>
              </w:rPr>
            </w:pPr>
          </w:p>
        </w:tc>
      </w:tr>
      <w:tr w14:paraId="1C79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EFEEA">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F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BB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D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9330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8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C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0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52DB1">
            <w:pPr>
              <w:rPr>
                <w:rFonts w:hint="default" w:ascii="黑体" w:hAnsi="黑体" w:eastAsia="黑体" w:cs="黑体"/>
                <w:i w:val="0"/>
                <w:iCs w:val="0"/>
                <w:color w:val="000000"/>
                <w:sz w:val="18"/>
                <w:szCs w:val="18"/>
                <w:u w:val="none"/>
              </w:rPr>
            </w:pPr>
          </w:p>
        </w:tc>
      </w:tr>
      <w:tr w14:paraId="596F0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97330">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E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70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1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0DF7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B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2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3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5D9B3">
            <w:pPr>
              <w:rPr>
                <w:rFonts w:hint="default" w:ascii="黑体" w:hAnsi="黑体" w:eastAsia="黑体" w:cs="黑体"/>
                <w:i w:val="0"/>
                <w:iCs w:val="0"/>
                <w:color w:val="000000"/>
                <w:sz w:val="18"/>
                <w:szCs w:val="18"/>
                <w:u w:val="none"/>
              </w:rPr>
            </w:pPr>
          </w:p>
        </w:tc>
      </w:tr>
      <w:tr w14:paraId="5BF9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E6FDA">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6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4EE7D">
            <w:pPr>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7CF9">
            <w:pPr>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D0EAE47">
            <w:pPr>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FA17">
            <w:pPr>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0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B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7A6BF">
            <w:pPr>
              <w:rPr>
                <w:rFonts w:hint="default" w:ascii="黑体" w:hAnsi="黑体" w:eastAsia="黑体" w:cs="黑体"/>
                <w:i w:val="0"/>
                <w:iCs w:val="0"/>
                <w:color w:val="000000"/>
                <w:sz w:val="18"/>
                <w:szCs w:val="18"/>
                <w:u w:val="none"/>
              </w:rPr>
            </w:pPr>
          </w:p>
        </w:tc>
      </w:tr>
      <w:tr w14:paraId="52B6D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39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E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D3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0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63E0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918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D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w:t>
            </w:r>
          </w:p>
          <w:p w14:paraId="593576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6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D1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7D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66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3AC3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DDC28">
            <w:pPr>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3B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BF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B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驻村帮扶队员</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578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F58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E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A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9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6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277C">
            <w:pPr>
              <w:jc w:val="center"/>
              <w:rPr>
                <w:rFonts w:hint="default" w:ascii="微软雅黑" w:hAnsi="微软雅黑" w:eastAsia="微软雅黑" w:cs="微软雅黑"/>
                <w:i w:val="0"/>
                <w:iCs w:val="0"/>
                <w:color w:val="000000"/>
                <w:sz w:val="16"/>
                <w:szCs w:val="16"/>
                <w:u w:val="none"/>
              </w:rPr>
            </w:pPr>
          </w:p>
        </w:tc>
      </w:tr>
      <w:tr w14:paraId="3D6F7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AAE42">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53D7E">
            <w:pPr>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F4176">
            <w:pPr>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7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剑阁县普安镇鹤鸣村</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83E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A47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5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2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F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1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2356">
            <w:pPr>
              <w:jc w:val="center"/>
              <w:rPr>
                <w:rFonts w:hint="default" w:ascii="微软雅黑" w:hAnsi="微软雅黑" w:eastAsia="微软雅黑" w:cs="微软雅黑"/>
                <w:i w:val="0"/>
                <w:iCs w:val="0"/>
                <w:color w:val="000000"/>
                <w:sz w:val="16"/>
                <w:szCs w:val="16"/>
                <w:u w:val="none"/>
              </w:rPr>
            </w:pPr>
          </w:p>
        </w:tc>
      </w:tr>
      <w:tr w14:paraId="5EB6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2FE9A">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CE043">
            <w:pPr>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8A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959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11"/>
                <w:kern w:val="0"/>
                <w:sz w:val="18"/>
                <w:szCs w:val="18"/>
                <w:u w:val="none"/>
                <w:lang w:val="en-US" w:eastAsia="zh-CN" w:bidi="ar"/>
              </w:rPr>
              <w:t>完成2024顺利实现帮扶的剑阁县普安镇鹤鸣村基础设施建设不断提升，产业发展不断优化</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7E9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8AB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2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5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3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F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B6CD">
            <w:pPr>
              <w:jc w:val="center"/>
              <w:rPr>
                <w:rFonts w:hint="default" w:ascii="微软雅黑" w:hAnsi="微软雅黑" w:eastAsia="微软雅黑" w:cs="微软雅黑"/>
                <w:i w:val="0"/>
                <w:iCs w:val="0"/>
                <w:color w:val="000000"/>
                <w:sz w:val="16"/>
                <w:szCs w:val="16"/>
                <w:u w:val="none"/>
              </w:rPr>
            </w:pPr>
          </w:p>
        </w:tc>
      </w:tr>
      <w:tr w14:paraId="62CD7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ED046">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331EC">
            <w:pPr>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E7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57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23B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991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9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8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1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1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9909">
            <w:pPr>
              <w:jc w:val="center"/>
              <w:rPr>
                <w:rFonts w:hint="default" w:ascii="微软雅黑" w:hAnsi="微软雅黑" w:eastAsia="微软雅黑" w:cs="微软雅黑"/>
                <w:i w:val="0"/>
                <w:iCs w:val="0"/>
                <w:color w:val="000000"/>
                <w:sz w:val="16"/>
                <w:szCs w:val="16"/>
                <w:u w:val="none"/>
              </w:rPr>
            </w:pPr>
          </w:p>
        </w:tc>
      </w:tr>
      <w:tr w14:paraId="1311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8CD78">
            <w:pPr>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78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B5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9B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乡村振兴各项工作有序推进</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716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1B8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6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1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6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C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E861">
            <w:pPr>
              <w:jc w:val="center"/>
              <w:rPr>
                <w:rFonts w:hint="default" w:ascii="微软雅黑" w:hAnsi="微软雅黑" w:eastAsia="微软雅黑" w:cs="微软雅黑"/>
                <w:i w:val="0"/>
                <w:iCs w:val="0"/>
                <w:color w:val="000000"/>
                <w:sz w:val="16"/>
                <w:szCs w:val="16"/>
                <w:u w:val="none"/>
              </w:rPr>
            </w:pPr>
          </w:p>
        </w:tc>
      </w:tr>
      <w:tr w14:paraId="1D28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97BEB">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F4F8C">
            <w:pPr>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FB5DC">
            <w:pPr>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39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通过项目建设，将极大改善项目区群众生产生活条件有效解决搬迁群众生产用水；吸纳当地群众解决就业</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007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5EE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4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D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A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C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C8CA">
            <w:pPr>
              <w:jc w:val="center"/>
              <w:rPr>
                <w:rFonts w:hint="default" w:ascii="微软雅黑" w:hAnsi="微软雅黑" w:eastAsia="微软雅黑" w:cs="微软雅黑"/>
                <w:i w:val="0"/>
                <w:iCs w:val="0"/>
                <w:color w:val="000000"/>
                <w:sz w:val="16"/>
                <w:szCs w:val="16"/>
                <w:u w:val="none"/>
              </w:rPr>
            </w:pPr>
          </w:p>
        </w:tc>
      </w:tr>
      <w:tr w14:paraId="4BEC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4B06C">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7B80B">
            <w:pPr>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61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F6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引导群众持续提升增收能力</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402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DC6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D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2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2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F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1CB6">
            <w:pPr>
              <w:jc w:val="center"/>
              <w:rPr>
                <w:rFonts w:hint="default" w:ascii="微软雅黑" w:hAnsi="微软雅黑" w:eastAsia="微软雅黑" w:cs="微软雅黑"/>
                <w:i w:val="0"/>
                <w:iCs w:val="0"/>
                <w:color w:val="000000"/>
                <w:sz w:val="16"/>
                <w:szCs w:val="16"/>
                <w:u w:val="none"/>
              </w:rPr>
            </w:pPr>
          </w:p>
        </w:tc>
      </w:tr>
      <w:tr w14:paraId="6F8D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76C6A">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F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11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D0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帮扶村群众对乡村振兴工作满意度</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277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1F1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9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2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B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B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08FF">
            <w:pPr>
              <w:jc w:val="center"/>
              <w:rPr>
                <w:rFonts w:hint="default" w:ascii="微软雅黑" w:hAnsi="微软雅黑" w:eastAsia="微软雅黑" w:cs="微软雅黑"/>
                <w:i w:val="0"/>
                <w:iCs w:val="0"/>
                <w:color w:val="000000"/>
                <w:sz w:val="16"/>
                <w:szCs w:val="16"/>
                <w:u w:val="none"/>
              </w:rPr>
            </w:pPr>
          </w:p>
        </w:tc>
      </w:tr>
      <w:tr w14:paraId="41AF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8AACE">
            <w:pPr>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05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DC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8D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驻村队员2人工作经费</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786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B8B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0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D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D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3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1EC1">
            <w:pPr>
              <w:jc w:val="center"/>
              <w:rPr>
                <w:rFonts w:hint="default" w:ascii="微软雅黑" w:hAnsi="微软雅黑" w:eastAsia="微软雅黑" w:cs="微软雅黑"/>
                <w:i w:val="0"/>
                <w:iCs w:val="0"/>
                <w:color w:val="000000"/>
                <w:sz w:val="16"/>
                <w:szCs w:val="16"/>
                <w:u w:val="none"/>
              </w:rPr>
            </w:pPr>
          </w:p>
        </w:tc>
      </w:tr>
      <w:tr w14:paraId="5B879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D9751">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08422">
            <w:pPr>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8D6B6">
            <w:pPr>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59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驻村队员生活补助</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DC8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5C7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2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0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A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1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D927">
            <w:pPr>
              <w:jc w:val="center"/>
              <w:rPr>
                <w:rFonts w:hint="default" w:ascii="微软雅黑" w:hAnsi="微软雅黑" w:eastAsia="微软雅黑" w:cs="微软雅黑"/>
                <w:i w:val="0"/>
                <w:iCs w:val="0"/>
                <w:color w:val="000000"/>
                <w:sz w:val="16"/>
                <w:szCs w:val="16"/>
                <w:u w:val="none"/>
              </w:rPr>
            </w:pPr>
          </w:p>
        </w:tc>
      </w:tr>
      <w:tr w14:paraId="09BC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BB75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6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9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5078">
            <w:pPr>
              <w:rPr>
                <w:rFonts w:hint="eastAsia" w:ascii="宋体" w:hAnsi="宋体" w:eastAsia="宋体" w:cs="宋体"/>
                <w:i w:val="0"/>
                <w:iCs w:val="0"/>
                <w:color w:val="000000"/>
                <w:sz w:val="18"/>
                <w:szCs w:val="18"/>
                <w:u w:val="none"/>
              </w:rPr>
            </w:pPr>
          </w:p>
        </w:tc>
      </w:tr>
      <w:tr w14:paraId="65FDD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A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4EB3AFA">
            <w:pPr>
              <w:keepNext w:val="0"/>
              <w:keepLines w:val="0"/>
              <w:widowControl/>
              <w:suppressLineNumbers w:val="0"/>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项目自评总分100分，保障了驻村工作队3人工作经费，顺利接续推进乡村振兴各项工作，年终无结余，预算执行率100%。</w:t>
            </w:r>
          </w:p>
        </w:tc>
      </w:tr>
      <w:tr w14:paraId="65A4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3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02496C8">
            <w:pPr>
              <w:keepNext w:val="0"/>
              <w:keepLines w:val="0"/>
              <w:widowControl/>
              <w:suppressLineNumbers w:val="0"/>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经费保障有缺口</w:t>
            </w:r>
          </w:p>
        </w:tc>
      </w:tr>
      <w:tr w14:paraId="472F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CE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C88A654">
            <w:pPr>
              <w:keepNext w:val="0"/>
              <w:keepLines w:val="0"/>
              <w:widowControl/>
              <w:suppressLineNumbers w:val="0"/>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建议弥补缺口资金</w:t>
            </w:r>
          </w:p>
        </w:tc>
      </w:tr>
      <w:tr w14:paraId="5E6C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58DB36">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项目负责人：张仔建</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D921A03">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3BEE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62BB5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2D570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D42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0E2D8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51080022Y000000267568-定额公用经费（事业）</w:t>
            </w:r>
          </w:p>
        </w:tc>
      </w:tr>
      <w:tr w14:paraId="7D6B1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1D2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6AD3A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075F598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60E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19EC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EA2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DBA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726D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286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68CA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153E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7743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438D8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0B97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确保单位日常公用经费运转，预算执行率100%</w:t>
            </w:r>
          </w:p>
        </w:tc>
      </w:tr>
      <w:tr w14:paraId="3465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FF11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EA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spacing w:val="-11"/>
                <w:kern w:val="0"/>
                <w:sz w:val="18"/>
                <w:szCs w:val="18"/>
                <w:u w:val="none"/>
                <w:lang w:val="en-US" w:eastAsia="zh-CN" w:bidi="ar"/>
              </w:rPr>
              <w:t>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E3881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严格按照资金用途执行预算，保障单位日常运转。</w:t>
            </w:r>
          </w:p>
        </w:tc>
      </w:tr>
      <w:tr w14:paraId="38F58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02E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CD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B5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701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0158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1D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B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5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E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9A1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8BB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6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22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22.50</w:t>
            </w: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16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0998A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A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3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81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48E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E8C3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B8C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4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36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22.50</w:t>
            </w: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B9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6E3A5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4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4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4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8E705">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34B66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61B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2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64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3A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83E1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F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EB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3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781BE">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328E9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329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A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7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CD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8EBC7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ED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0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B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3057E">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474AC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DD5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FB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5EC7">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752DA">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E4DB65E">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5B29">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E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9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2E92D">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6D73F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F9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E24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1D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43E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DC1F0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86A1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0C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w:t>
            </w:r>
          </w:p>
          <w:p w14:paraId="3D527BE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F8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76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775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B85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12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E5F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5D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BA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AE3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259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1DA0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BA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36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1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D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1D9B">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1157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29B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CF1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4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BF16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9210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B53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B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4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4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85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5C3A">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6F7C7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198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61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4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345B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A1AA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F12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8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A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CA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29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6EB6">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4D03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726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54C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4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9DE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20E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F57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8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B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1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7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E033">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3A7D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840A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BC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0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069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6495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7A1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4A909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项目自评总分100分，保障了单位日常运转，年终无结余，预算执行率100%</w:t>
            </w:r>
          </w:p>
        </w:tc>
      </w:tr>
      <w:tr w14:paraId="0483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C9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23ED5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6D854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9E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93255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4EF7D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E501D0">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项目负责人：陈婷婷</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1F169F0">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1D18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6" w:type="dxa"/>
            <w:tcBorders>
              <w:top w:val="nil"/>
              <w:left w:val="nil"/>
              <w:bottom w:val="nil"/>
              <w:right w:val="nil"/>
            </w:tcBorders>
            <w:shd w:val="clear" w:color="auto" w:fill="auto"/>
            <w:vAlign w:val="center"/>
          </w:tcPr>
          <w:p w14:paraId="4C755D0F">
            <w:pPr>
              <w:rPr>
                <w:rFonts w:hint="eastAsia" w:ascii="宋体" w:hAnsi="宋体" w:eastAsia="宋体" w:cs="宋体"/>
                <w:i w:val="0"/>
                <w:iCs w:val="0"/>
                <w:color w:val="000000"/>
                <w:sz w:val="18"/>
                <w:szCs w:val="18"/>
                <w:u w:val="none"/>
              </w:rPr>
            </w:pPr>
          </w:p>
        </w:tc>
        <w:tc>
          <w:tcPr>
            <w:tcW w:w="2165" w:type="dxa"/>
            <w:tcBorders>
              <w:top w:val="nil"/>
              <w:left w:val="nil"/>
              <w:bottom w:val="nil"/>
              <w:right w:val="nil"/>
            </w:tcBorders>
            <w:shd w:val="clear" w:color="auto" w:fill="auto"/>
            <w:vAlign w:val="center"/>
          </w:tcPr>
          <w:p w14:paraId="740745BB">
            <w:pPr>
              <w:rPr>
                <w:rFonts w:hint="eastAsia" w:ascii="宋体" w:hAnsi="宋体" w:eastAsia="宋体" w:cs="宋体"/>
                <w:i w:val="0"/>
                <w:iCs w:val="0"/>
                <w:color w:val="000000"/>
                <w:sz w:val="18"/>
                <w:szCs w:val="18"/>
                <w:u w:val="none"/>
              </w:rPr>
            </w:pPr>
          </w:p>
        </w:tc>
        <w:tc>
          <w:tcPr>
            <w:tcW w:w="1524" w:type="dxa"/>
            <w:gridSpan w:val="2"/>
            <w:tcBorders>
              <w:top w:val="nil"/>
              <w:left w:val="nil"/>
              <w:bottom w:val="nil"/>
              <w:right w:val="nil"/>
            </w:tcBorders>
            <w:shd w:val="clear" w:color="auto" w:fill="auto"/>
            <w:vAlign w:val="center"/>
          </w:tcPr>
          <w:p w14:paraId="4E11DA09">
            <w:pPr>
              <w:rPr>
                <w:rFonts w:hint="eastAsia" w:ascii="宋体" w:hAnsi="宋体" w:eastAsia="宋体" w:cs="宋体"/>
                <w:i w:val="0"/>
                <w:iCs w:val="0"/>
                <w:color w:val="000000"/>
                <w:sz w:val="18"/>
                <w:szCs w:val="18"/>
                <w:u w:val="none"/>
              </w:rPr>
            </w:pPr>
          </w:p>
        </w:tc>
        <w:tc>
          <w:tcPr>
            <w:tcW w:w="2454" w:type="dxa"/>
            <w:tcBorders>
              <w:top w:val="nil"/>
              <w:left w:val="nil"/>
              <w:bottom w:val="nil"/>
              <w:right w:val="nil"/>
            </w:tcBorders>
            <w:shd w:val="clear" w:color="auto" w:fill="auto"/>
            <w:vAlign w:val="center"/>
          </w:tcPr>
          <w:p w14:paraId="5970FD19">
            <w:pPr>
              <w:rPr>
                <w:rFonts w:hint="eastAsia" w:ascii="宋体" w:hAnsi="宋体" w:eastAsia="宋体" w:cs="宋体"/>
                <w:i w:val="0"/>
                <w:iCs w:val="0"/>
                <w:color w:val="000000"/>
                <w:sz w:val="18"/>
                <w:szCs w:val="18"/>
                <w:u w:val="none"/>
              </w:rPr>
            </w:pPr>
          </w:p>
        </w:tc>
        <w:tc>
          <w:tcPr>
            <w:tcW w:w="458" w:type="dxa"/>
            <w:tcBorders>
              <w:top w:val="nil"/>
              <w:left w:val="nil"/>
              <w:bottom w:val="nil"/>
              <w:right w:val="nil"/>
            </w:tcBorders>
            <w:shd w:val="clear" w:color="auto" w:fill="auto"/>
            <w:vAlign w:val="center"/>
          </w:tcPr>
          <w:p w14:paraId="3F5EBCF8">
            <w:pPr>
              <w:rPr>
                <w:rFonts w:hint="eastAsia" w:ascii="宋体" w:hAnsi="宋体" w:eastAsia="宋体" w:cs="宋体"/>
                <w:i w:val="0"/>
                <w:iCs w:val="0"/>
                <w:color w:val="000000"/>
                <w:sz w:val="18"/>
                <w:szCs w:val="18"/>
                <w:u w:val="none"/>
              </w:rPr>
            </w:pPr>
          </w:p>
        </w:tc>
        <w:tc>
          <w:tcPr>
            <w:tcW w:w="1448" w:type="dxa"/>
            <w:gridSpan w:val="12"/>
            <w:tcBorders>
              <w:top w:val="nil"/>
              <w:left w:val="nil"/>
              <w:bottom w:val="nil"/>
              <w:right w:val="nil"/>
            </w:tcBorders>
            <w:shd w:val="clear" w:color="auto" w:fill="auto"/>
            <w:vAlign w:val="center"/>
          </w:tcPr>
          <w:p w14:paraId="47C8FB66">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F043DD5">
            <w:pPr>
              <w:rPr>
                <w:rFonts w:hint="eastAsia" w:ascii="宋体" w:hAnsi="宋体" w:eastAsia="宋体" w:cs="宋体"/>
                <w:i w:val="0"/>
                <w:iCs w:val="0"/>
                <w:color w:val="000000"/>
                <w:sz w:val="18"/>
                <w:szCs w:val="18"/>
                <w:u w:val="none"/>
              </w:rPr>
            </w:pPr>
          </w:p>
        </w:tc>
        <w:tc>
          <w:tcPr>
            <w:tcW w:w="957" w:type="dxa"/>
            <w:tcBorders>
              <w:top w:val="nil"/>
              <w:left w:val="nil"/>
              <w:bottom w:val="nil"/>
              <w:right w:val="nil"/>
            </w:tcBorders>
            <w:shd w:val="clear" w:color="auto" w:fill="auto"/>
            <w:vAlign w:val="center"/>
          </w:tcPr>
          <w:p w14:paraId="142737D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E4E776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98B89CA">
            <w:pPr>
              <w:jc w:val="center"/>
              <w:rPr>
                <w:rFonts w:hint="eastAsia" w:ascii="宋体" w:hAnsi="宋体" w:eastAsia="宋体" w:cs="宋体"/>
                <w:i w:val="0"/>
                <w:iCs w:val="0"/>
                <w:color w:val="000000"/>
                <w:sz w:val="18"/>
                <w:szCs w:val="18"/>
                <w:u w:val="none"/>
              </w:rPr>
            </w:pPr>
          </w:p>
        </w:tc>
        <w:tc>
          <w:tcPr>
            <w:tcW w:w="2480" w:type="dxa"/>
            <w:tcBorders>
              <w:top w:val="nil"/>
              <w:left w:val="nil"/>
              <w:bottom w:val="nil"/>
              <w:right w:val="nil"/>
            </w:tcBorders>
            <w:shd w:val="clear" w:color="auto" w:fill="auto"/>
            <w:vAlign w:val="center"/>
          </w:tcPr>
          <w:p w14:paraId="24DFA7FD">
            <w:pPr>
              <w:rPr>
                <w:rFonts w:hint="eastAsia" w:ascii="宋体" w:hAnsi="宋体" w:eastAsia="宋体" w:cs="宋体"/>
                <w:i w:val="0"/>
                <w:iCs w:val="0"/>
                <w:color w:val="000000"/>
                <w:sz w:val="18"/>
                <w:szCs w:val="18"/>
                <w:u w:val="none"/>
              </w:rPr>
            </w:pPr>
          </w:p>
        </w:tc>
      </w:tr>
      <w:tr w14:paraId="1DA9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6" w:type="dxa"/>
            <w:tcBorders>
              <w:top w:val="nil"/>
              <w:left w:val="nil"/>
              <w:bottom w:val="nil"/>
              <w:right w:val="nil"/>
            </w:tcBorders>
            <w:shd w:val="clear" w:color="auto" w:fill="auto"/>
            <w:vAlign w:val="center"/>
          </w:tcPr>
          <w:p w14:paraId="1F2B2918">
            <w:pPr>
              <w:rPr>
                <w:rFonts w:hint="eastAsia" w:ascii="宋体" w:hAnsi="宋体" w:eastAsia="宋体" w:cs="宋体"/>
                <w:i w:val="0"/>
                <w:iCs w:val="0"/>
                <w:color w:val="000000"/>
                <w:sz w:val="18"/>
                <w:szCs w:val="18"/>
                <w:u w:val="none"/>
              </w:rPr>
            </w:pPr>
          </w:p>
        </w:tc>
        <w:tc>
          <w:tcPr>
            <w:tcW w:w="2165" w:type="dxa"/>
            <w:tcBorders>
              <w:top w:val="nil"/>
              <w:left w:val="nil"/>
              <w:bottom w:val="nil"/>
              <w:right w:val="nil"/>
            </w:tcBorders>
            <w:shd w:val="clear" w:color="auto" w:fill="auto"/>
            <w:vAlign w:val="center"/>
          </w:tcPr>
          <w:p w14:paraId="26C107D4">
            <w:pPr>
              <w:rPr>
                <w:rFonts w:hint="eastAsia" w:ascii="宋体" w:hAnsi="宋体" w:eastAsia="宋体" w:cs="宋体"/>
                <w:i w:val="0"/>
                <w:iCs w:val="0"/>
                <w:color w:val="000000"/>
                <w:sz w:val="18"/>
                <w:szCs w:val="18"/>
                <w:u w:val="none"/>
              </w:rPr>
            </w:pPr>
          </w:p>
        </w:tc>
        <w:tc>
          <w:tcPr>
            <w:tcW w:w="1524" w:type="dxa"/>
            <w:gridSpan w:val="2"/>
            <w:tcBorders>
              <w:top w:val="nil"/>
              <w:left w:val="nil"/>
              <w:bottom w:val="nil"/>
              <w:right w:val="nil"/>
            </w:tcBorders>
            <w:shd w:val="clear" w:color="auto" w:fill="auto"/>
            <w:vAlign w:val="center"/>
          </w:tcPr>
          <w:p w14:paraId="0B78F0D4">
            <w:pPr>
              <w:rPr>
                <w:rFonts w:hint="eastAsia" w:ascii="宋体" w:hAnsi="宋体" w:eastAsia="宋体" w:cs="宋体"/>
                <w:i w:val="0"/>
                <w:iCs w:val="0"/>
                <w:color w:val="000000"/>
                <w:sz w:val="18"/>
                <w:szCs w:val="18"/>
                <w:u w:val="none"/>
              </w:rPr>
            </w:pPr>
          </w:p>
        </w:tc>
        <w:tc>
          <w:tcPr>
            <w:tcW w:w="2454" w:type="dxa"/>
            <w:tcBorders>
              <w:top w:val="nil"/>
              <w:left w:val="nil"/>
              <w:bottom w:val="nil"/>
              <w:right w:val="nil"/>
            </w:tcBorders>
            <w:shd w:val="clear" w:color="auto" w:fill="auto"/>
            <w:vAlign w:val="center"/>
          </w:tcPr>
          <w:p w14:paraId="3A03F4D9">
            <w:pPr>
              <w:rPr>
                <w:rFonts w:hint="eastAsia" w:ascii="宋体" w:hAnsi="宋体" w:eastAsia="宋体" w:cs="宋体"/>
                <w:i w:val="0"/>
                <w:iCs w:val="0"/>
                <w:color w:val="000000"/>
                <w:sz w:val="18"/>
                <w:szCs w:val="18"/>
                <w:u w:val="none"/>
              </w:rPr>
            </w:pPr>
          </w:p>
        </w:tc>
        <w:tc>
          <w:tcPr>
            <w:tcW w:w="458" w:type="dxa"/>
            <w:tcBorders>
              <w:top w:val="nil"/>
              <w:left w:val="nil"/>
              <w:bottom w:val="nil"/>
              <w:right w:val="nil"/>
            </w:tcBorders>
            <w:shd w:val="clear" w:color="auto" w:fill="auto"/>
            <w:vAlign w:val="center"/>
          </w:tcPr>
          <w:p w14:paraId="35525650">
            <w:pPr>
              <w:rPr>
                <w:rFonts w:hint="eastAsia" w:ascii="宋体" w:hAnsi="宋体" w:eastAsia="宋体" w:cs="宋体"/>
                <w:i w:val="0"/>
                <w:iCs w:val="0"/>
                <w:color w:val="000000"/>
                <w:sz w:val="18"/>
                <w:szCs w:val="18"/>
                <w:u w:val="none"/>
              </w:rPr>
            </w:pPr>
          </w:p>
        </w:tc>
        <w:tc>
          <w:tcPr>
            <w:tcW w:w="1448" w:type="dxa"/>
            <w:gridSpan w:val="12"/>
            <w:tcBorders>
              <w:top w:val="nil"/>
              <w:left w:val="nil"/>
              <w:bottom w:val="nil"/>
              <w:right w:val="nil"/>
            </w:tcBorders>
            <w:shd w:val="clear" w:color="auto" w:fill="auto"/>
            <w:vAlign w:val="center"/>
          </w:tcPr>
          <w:p w14:paraId="437FB947">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54810E17">
            <w:pPr>
              <w:rPr>
                <w:rFonts w:hint="eastAsia" w:ascii="宋体" w:hAnsi="宋体" w:eastAsia="宋体" w:cs="宋体"/>
                <w:i w:val="0"/>
                <w:iCs w:val="0"/>
                <w:color w:val="000000"/>
                <w:sz w:val="18"/>
                <w:szCs w:val="18"/>
                <w:u w:val="none"/>
              </w:rPr>
            </w:pPr>
          </w:p>
        </w:tc>
        <w:tc>
          <w:tcPr>
            <w:tcW w:w="957" w:type="dxa"/>
            <w:tcBorders>
              <w:top w:val="nil"/>
              <w:left w:val="nil"/>
              <w:bottom w:val="nil"/>
              <w:right w:val="nil"/>
            </w:tcBorders>
            <w:shd w:val="clear" w:color="auto" w:fill="auto"/>
            <w:vAlign w:val="center"/>
          </w:tcPr>
          <w:p w14:paraId="03A74E3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A15E9A9">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DEF4C21">
            <w:pPr>
              <w:jc w:val="center"/>
              <w:rPr>
                <w:rFonts w:hint="eastAsia" w:ascii="宋体" w:hAnsi="宋体" w:eastAsia="宋体" w:cs="宋体"/>
                <w:i w:val="0"/>
                <w:iCs w:val="0"/>
                <w:color w:val="000000"/>
                <w:sz w:val="18"/>
                <w:szCs w:val="18"/>
                <w:u w:val="none"/>
              </w:rPr>
            </w:pPr>
          </w:p>
        </w:tc>
        <w:tc>
          <w:tcPr>
            <w:tcW w:w="2480" w:type="dxa"/>
            <w:tcBorders>
              <w:top w:val="nil"/>
              <w:left w:val="nil"/>
              <w:bottom w:val="nil"/>
              <w:right w:val="nil"/>
            </w:tcBorders>
            <w:shd w:val="clear" w:color="auto" w:fill="auto"/>
            <w:vAlign w:val="center"/>
          </w:tcPr>
          <w:p w14:paraId="07E7F78D">
            <w:pPr>
              <w:rPr>
                <w:rFonts w:hint="eastAsia" w:ascii="宋体" w:hAnsi="宋体" w:eastAsia="宋体" w:cs="宋体"/>
                <w:i w:val="0"/>
                <w:iCs w:val="0"/>
                <w:color w:val="000000"/>
                <w:sz w:val="18"/>
                <w:szCs w:val="18"/>
                <w:u w:val="none"/>
              </w:rPr>
            </w:pPr>
          </w:p>
        </w:tc>
      </w:tr>
      <w:tr w14:paraId="5481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5" w:hRule="atLeast"/>
        </w:trPr>
        <w:tc>
          <w:tcPr>
            <w:tcW w:w="706" w:type="dxa"/>
            <w:tcBorders>
              <w:top w:val="nil"/>
              <w:left w:val="nil"/>
              <w:bottom w:val="nil"/>
              <w:right w:val="nil"/>
            </w:tcBorders>
            <w:shd w:val="clear" w:color="auto" w:fill="auto"/>
            <w:vAlign w:val="center"/>
          </w:tcPr>
          <w:p w14:paraId="1223C2DB">
            <w:pPr>
              <w:rPr>
                <w:rFonts w:hint="eastAsia" w:ascii="宋体" w:hAnsi="宋体" w:eastAsia="宋体" w:cs="宋体"/>
                <w:i w:val="0"/>
                <w:iCs w:val="0"/>
                <w:color w:val="000000"/>
                <w:sz w:val="18"/>
                <w:szCs w:val="18"/>
                <w:u w:val="none"/>
              </w:rPr>
            </w:pPr>
          </w:p>
        </w:tc>
        <w:tc>
          <w:tcPr>
            <w:tcW w:w="2165" w:type="dxa"/>
            <w:tcBorders>
              <w:top w:val="nil"/>
              <w:left w:val="nil"/>
              <w:bottom w:val="nil"/>
              <w:right w:val="nil"/>
            </w:tcBorders>
            <w:shd w:val="clear" w:color="auto" w:fill="auto"/>
            <w:vAlign w:val="center"/>
          </w:tcPr>
          <w:p w14:paraId="68E7EC00">
            <w:pPr>
              <w:rPr>
                <w:rFonts w:hint="eastAsia" w:ascii="宋体" w:hAnsi="宋体" w:eastAsia="宋体" w:cs="宋体"/>
                <w:i w:val="0"/>
                <w:iCs w:val="0"/>
                <w:color w:val="000000"/>
                <w:sz w:val="18"/>
                <w:szCs w:val="18"/>
                <w:u w:val="none"/>
              </w:rPr>
            </w:pPr>
          </w:p>
        </w:tc>
        <w:tc>
          <w:tcPr>
            <w:tcW w:w="1524" w:type="dxa"/>
            <w:gridSpan w:val="2"/>
            <w:tcBorders>
              <w:top w:val="nil"/>
              <w:left w:val="nil"/>
              <w:bottom w:val="nil"/>
              <w:right w:val="nil"/>
            </w:tcBorders>
            <w:shd w:val="clear" w:color="auto" w:fill="auto"/>
            <w:vAlign w:val="center"/>
          </w:tcPr>
          <w:p w14:paraId="787346F4">
            <w:pPr>
              <w:rPr>
                <w:rFonts w:hint="eastAsia" w:ascii="宋体" w:hAnsi="宋体" w:eastAsia="宋体" w:cs="宋体"/>
                <w:i w:val="0"/>
                <w:iCs w:val="0"/>
                <w:color w:val="000000"/>
                <w:sz w:val="18"/>
                <w:szCs w:val="18"/>
                <w:u w:val="none"/>
              </w:rPr>
            </w:pPr>
          </w:p>
        </w:tc>
        <w:tc>
          <w:tcPr>
            <w:tcW w:w="2454" w:type="dxa"/>
            <w:tcBorders>
              <w:top w:val="nil"/>
              <w:left w:val="nil"/>
              <w:bottom w:val="nil"/>
              <w:right w:val="nil"/>
            </w:tcBorders>
            <w:shd w:val="clear" w:color="auto" w:fill="auto"/>
            <w:vAlign w:val="center"/>
          </w:tcPr>
          <w:p w14:paraId="3BA1EDD6">
            <w:pPr>
              <w:rPr>
                <w:rFonts w:hint="eastAsia" w:ascii="宋体" w:hAnsi="宋体" w:eastAsia="宋体" w:cs="宋体"/>
                <w:i w:val="0"/>
                <w:iCs w:val="0"/>
                <w:color w:val="000000"/>
                <w:sz w:val="18"/>
                <w:szCs w:val="18"/>
                <w:u w:val="none"/>
              </w:rPr>
            </w:pPr>
          </w:p>
        </w:tc>
        <w:tc>
          <w:tcPr>
            <w:tcW w:w="458" w:type="dxa"/>
            <w:tcBorders>
              <w:top w:val="nil"/>
              <w:left w:val="nil"/>
              <w:bottom w:val="nil"/>
              <w:right w:val="nil"/>
            </w:tcBorders>
            <w:shd w:val="clear" w:color="auto" w:fill="auto"/>
            <w:vAlign w:val="center"/>
          </w:tcPr>
          <w:p w14:paraId="04C5CA5A">
            <w:pPr>
              <w:rPr>
                <w:rFonts w:hint="eastAsia" w:ascii="宋体" w:hAnsi="宋体" w:eastAsia="宋体" w:cs="宋体"/>
                <w:i w:val="0"/>
                <w:iCs w:val="0"/>
                <w:color w:val="000000"/>
                <w:sz w:val="18"/>
                <w:szCs w:val="18"/>
                <w:u w:val="none"/>
              </w:rPr>
            </w:pPr>
          </w:p>
        </w:tc>
        <w:tc>
          <w:tcPr>
            <w:tcW w:w="1448" w:type="dxa"/>
            <w:gridSpan w:val="12"/>
            <w:tcBorders>
              <w:top w:val="nil"/>
              <w:left w:val="nil"/>
              <w:bottom w:val="nil"/>
              <w:right w:val="nil"/>
            </w:tcBorders>
            <w:shd w:val="clear" w:color="auto" w:fill="auto"/>
            <w:vAlign w:val="center"/>
          </w:tcPr>
          <w:p w14:paraId="2B1801B2">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A93113F">
            <w:pPr>
              <w:rPr>
                <w:rFonts w:hint="eastAsia" w:ascii="宋体" w:hAnsi="宋体" w:eastAsia="宋体" w:cs="宋体"/>
                <w:i w:val="0"/>
                <w:iCs w:val="0"/>
                <w:color w:val="000000"/>
                <w:sz w:val="18"/>
                <w:szCs w:val="18"/>
                <w:u w:val="none"/>
              </w:rPr>
            </w:pPr>
          </w:p>
        </w:tc>
        <w:tc>
          <w:tcPr>
            <w:tcW w:w="957" w:type="dxa"/>
            <w:tcBorders>
              <w:top w:val="nil"/>
              <w:left w:val="nil"/>
              <w:bottom w:val="nil"/>
              <w:right w:val="nil"/>
            </w:tcBorders>
            <w:shd w:val="clear" w:color="auto" w:fill="auto"/>
            <w:vAlign w:val="center"/>
          </w:tcPr>
          <w:p w14:paraId="2E1A15F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88CFA7B">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A563BE1">
            <w:pPr>
              <w:jc w:val="center"/>
              <w:rPr>
                <w:rFonts w:hint="eastAsia" w:ascii="宋体" w:hAnsi="宋体" w:eastAsia="宋体" w:cs="宋体"/>
                <w:i w:val="0"/>
                <w:iCs w:val="0"/>
                <w:color w:val="000000"/>
                <w:sz w:val="18"/>
                <w:szCs w:val="18"/>
                <w:u w:val="none"/>
              </w:rPr>
            </w:pPr>
          </w:p>
        </w:tc>
        <w:tc>
          <w:tcPr>
            <w:tcW w:w="2480" w:type="dxa"/>
            <w:tcBorders>
              <w:top w:val="nil"/>
              <w:left w:val="nil"/>
              <w:bottom w:val="nil"/>
              <w:right w:val="nil"/>
            </w:tcBorders>
            <w:shd w:val="clear" w:color="auto" w:fill="auto"/>
            <w:vAlign w:val="center"/>
          </w:tcPr>
          <w:p w14:paraId="5E271993">
            <w:pPr>
              <w:rPr>
                <w:rFonts w:hint="eastAsia" w:ascii="宋体" w:hAnsi="宋体" w:eastAsia="宋体" w:cs="宋体"/>
                <w:i w:val="0"/>
                <w:iCs w:val="0"/>
                <w:color w:val="000000"/>
                <w:sz w:val="18"/>
                <w:szCs w:val="18"/>
                <w:u w:val="none"/>
              </w:rPr>
            </w:pPr>
          </w:p>
        </w:tc>
      </w:tr>
      <w:tr w14:paraId="717B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12A93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0EBC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3D5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14F4F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51080023R000009698970-单位年度考核奖</w:t>
            </w:r>
          </w:p>
        </w:tc>
      </w:tr>
      <w:tr w14:paraId="7FD1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AC6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BC500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215004D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4E6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23E5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668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1E5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697D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4AEC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035F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5088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34BA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6544C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严格执行相关政策，保障单位年度考核奖及时、足额发放，预算编制科学合理，减少结余资金。</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2C33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单位年终考核奖励金按照相关规定足额发放到位，预算执行率100%</w:t>
            </w:r>
          </w:p>
        </w:tc>
      </w:tr>
      <w:tr w14:paraId="3891A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1AAD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AB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spacing w:val="-11"/>
                <w:kern w:val="0"/>
                <w:sz w:val="18"/>
                <w:szCs w:val="18"/>
                <w:u w:val="none"/>
                <w:lang w:val="en-US" w:eastAsia="zh-CN" w:bidi="ar"/>
              </w:rPr>
              <w:t>.项目实施内容及过程概述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594A9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严格执行相关政策，保障单位年度考核奖及时、足额发放，预算编制科学合理，减少结余资金。</w:t>
            </w:r>
          </w:p>
        </w:tc>
      </w:tr>
      <w:tr w14:paraId="605C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83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B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78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A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4F16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5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1D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2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29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2F38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5A8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39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46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34.40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A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64.71</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28DC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64.71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C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DA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0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333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36E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15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B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1D5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34.40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53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64.71</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E5C8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64.71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86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A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4D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4931E">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1753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66A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85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C0A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E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3265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2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F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7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95021">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1512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A9D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34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40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4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3EE4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C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1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8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61001">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6FF2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D80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3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644E3">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F2DB">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E6F1645">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723B">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1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B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8E31C">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703F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4FD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97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A14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D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33FA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89A5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4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w:t>
            </w:r>
          </w:p>
          <w:p w14:paraId="2F855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5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4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9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6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00E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BA9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F1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67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F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DB2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6772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2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2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B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A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6DCF">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246CE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F86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1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F4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C8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D1B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99A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BD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3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A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E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88E8">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4537B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7318C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C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2C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7AA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33D8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0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1C99BB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项目自评总分100分，确保按照组织人事补助核定标准足额发放到位，年终无结余，预算执行率100%。</w:t>
            </w:r>
          </w:p>
        </w:tc>
      </w:tr>
      <w:tr w14:paraId="4CD5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6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6DF89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4B46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91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DBC25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6C5F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D17A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项目负责人：刘阳</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42250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0D62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BF3232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6DF26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7A1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87DFA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51080023T000008333917-第五次全国经济普查经费</w:t>
            </w:r>
          </w:p>
        </w:tc>
      </w:tr>
      <w:tr w14:paraId="1624A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0DA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7077C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1366CBDE">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3D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41F8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8DE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710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D106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639A5F">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2170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8"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D2109">
            <w:pP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A73C1">
            <w:pPr>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9D454D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第五次全国经济普查是重大国情国力调查，全面调查我市第二产业和第三产业发展规模、布局和效益，摸清各类单位基本情况，掌握国民经济行业间经济联系，是对经济社会发展情况的一次“全面体检”，客观反映我市经济社会发展状况。通过普查进一步夯实统计基础，推进统计现代化改革，为加强和改善宏观经济治理、科学制定中长期发展规划，提供科学准确的统计信息支持。2024年普查主要工作任务：普查登记，普查数据检查、审核与验收，普查数据质量抽查，普查数据汇总与评估，开展普查总结等。</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7B43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2024年普查完成了普查登记，普查数据检查、审核与验收，普查数据质量抽查，普查数据汇总与评估，开展普查总结等相关工作，预算资金执行率100%。</w:t>
            </w:r>
          </w:p>
        </w:tc>
      </w:tr>
      <w:tr w14:paraId="28BD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FC449">
            <w:pP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F7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65B03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召开全市五经普专题会、工作会，对入户登记工作进行了安排部署；县区党政主要领导、分管领导靠前指挥、督导调研，积极协调解决遇到的各种问题；市经信、住建、人社等行业主管部门召开行业五经普专题会、建立班子成员分片包干督导制度，切实压实领导责任，全力推动五经普工作顺利开展。</w:t>
            </w:r>
          </w:p>
        </w:tc>
      </w:tr>
      <w:tr w14:paraId="1CA7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BF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5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02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F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AB96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7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C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E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7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4301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C9920">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7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C2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0.41</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7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110.41</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6092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110.41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5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2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0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7015C">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4FA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43544">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0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FA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0.41</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6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110.41</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190A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110.41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A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8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1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3E990">
            <w:pPr>
              <w:rPr>
                <w:rFonts w:hint="default" w:ascii="黑体" w:hAnsi="黑体" w:eastAsia="黑体" w:cs="黑体"/>
                <w:i w:val="0"/>
                <w:iCs w:val="0"/>
                <w:color w:val="000000"/>
                <w:sz w:val="18"/>
                <w:szCs w:val="18"/>
                <w:u w:val="none"/>
              </w:rPr>
            </w:pPr>
          </w:p>
        </w:tc>
      </w:tr>
      <w:tr w14:paraId="10A2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EE4D0">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D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DE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6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74EB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1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F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8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4FCBE">
            <w:pPr>
              <w:rPr>
                <w:rFonts w:hint="default" w:ascii="黑体" w:hAnsi="黑体" w:eastAsia="黑体" w:cs="黑体"/>
                <w:i w:val="0"/>
                <w:iCs w:val="0"/>
                <w:color w:val="000000"/>
                <w:sz w:val="18"/>
                <w:szCs w:val="18"/>
                <w:u w:val="none"/>
              </w:rPr>
            </w:pPr>
          </w:p>
        </w:tc>
      </w:tr>
      <w:tr w14:paraId="5C08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B9CBF">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6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6F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3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46D6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2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2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4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49677">
            <w:pPr>
              <w:rPr>
                <w:rFonts w:hint="default" w:ascii="黑体" w:hAnsi="黑体" w:eastAsia="黑体" w:cs="黑体"/>
                <w:i w:val="0"/>
                <w:iCs w:val="0"/>
                <w:color w:val="000000"/>
                <w:sz w:val="18"/>
                <w:szCs w:val="18"/>
                <w:u w:val="none"/>
              </w:rPr>
            </w:pPr>
          </w:p>
        </w:tc>
      </w:tr>
      <w:tr w14:paraId="5CA1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21BDB">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A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595D3">
            <w:pPr>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03F8">
            <w:pPr>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880D5E2">
            <w:pPr>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3077">
            <w:pPr>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0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D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D52C6">
            <w:pPr>
              <w:rPr>
                <w:rFonts w:hint="default" w:ascii="黑体" w:hAnsi="黑体" w:eastAsia="黑体" w:cs="黑体"/>
                <w:i w:val="0"/>
                <w:iCs w:val="0"/>
                <w:color w:val="000000"/>
                <w:sz w:val="18"/>
                <w:szCs w:val="18"/>
                <w:u w:val="none"/>
              </w:rPr>
            </w:pPr>
          </w:p>
        </w:tc>
      </w:tr>
      <w:tr w14:paraId="032A6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02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6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F59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C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13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C8B0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0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F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  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2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1E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C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F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921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010DA">
            <w:pPr>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2F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56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CA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6"/>
                <w:kern w:val="0"/>
                <w:sz w:val="18"/>
                <w:szCs w:val="18"/>
                <w:u w:val="none"/>
                <w:lang w:val="en-US" w:eastAsia="zh-CN" w:bidi="ar"/>
              </w:rPr>
              <w:t>经济普查领导小组办公室会议</w:t>
            </w:r>
          </w:p>
        </w:tc>
        <w:tc>
          <w:tcPr>
            <w:tcW w:w="113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3994F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9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9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9D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6A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3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2F57">
            <w:pPr>
              <w:jc w:val="center"/>
              <w:rPr>
                <w:rFonts w:hint="default" w:ascii="微软雅黑" w:hAnsi="微软雅黑" w:eastAsia="微软雅黑" w:cs="微软雅黑"/>
                <w:i w:val="0"/>
                <w:iCs w:val="0"/>
                <w:color w:val="000000"/>
                <w:sz w:val="16"/>
                <w:szCs w:val="16"/>
                <w:u w:val="none"/>
              </w:rPr>
            </w:pPr>
          </w:p>
        </w:tc>
      </w:tr>
      <w:tr w14:paraId="6ADB5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C12B0">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F6E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3E4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87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经济普查宣传活动次数</w:t>
            </w:r>
          </w:p>
        </w:tc>
        <w:tc>
          <w:tcPr>
            <w:tcW w:w="113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BF7E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0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66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20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0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1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1FA3">
            <w:pPr>
              <w:jc w:val="center"/>
              <w:rPr>
                <w:rFonts w:hint="default" w:ascii="微软雅黑" w:hAnsi="微软雅黑" w:eastAsia="微软雅黑" w:cs="微软雅黑"/>
                <w:i w:val="0"/>
                <w:iCs w:val="0"/>
                <w:color w:val="000000"/>
                <w:sz w:val="16"/>
                <w:szCs w:val="16"/>
                <w:u w:val="none"/>
              </w:rPr>
            </w:pPr>
          </w:p>
        </w:tc>
      </w:tr>
      <w:tr w14:paraId="00C33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C9892">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0C0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75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26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完成经济普查2023年度启动、设备准备、宣传及试点等前期工作筹备开展。</w:t>
            </w:r>
          </w:p>
        </w:tc>
        <w:tc>
          <w:tcPr>
            <w:tcW w:w="113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AF95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7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1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A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18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2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B4E6">
            <w:pPr>
              <w:jc w:val="center"/>
              <w:rPr>
                <w:rFonts w:hint="default" w:ascii="微软雅黑" w:hAnsi="微软雅黑" w:eastAsia="微软雅黑" w:cs="微软雅黑"/>
                <w:i w:val="0"/>
                <w:iCs w:val="0"/>
                <w:color w:val="000000"/>
                <w:sz w:val="16"/>
                <w:szCs w:val="16"/>
                <w:u w:val="none"/>
              </w:rPr>
            </w:pPr>
          </w:p>
        </w:tc>
      </w:tr>
      <w:tr w14:paraId="4775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BB513">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337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AFE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20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6"/>
                <w:kern w:val="0"/>
                <w:sz w:val="18"/>
                <w:szCs w:val="18"/>
                <w:u w:val="none"/>
                <w:lang w:val="en-US" w:eastAsia="zh-CN" w:bidi="ar"/>
              </w:rPr>
              <w:t>2023年度筹备、试点、设备购置、宣传启动工作完成时限</w:t>
            </w:r>
          </w:p>
        </w:tc>
        <w:tc>
          <w:tcPr>
            <w:tcW w:w="113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594EC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A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D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4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7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6C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9B31">
            <w:pPr>
              <w:jc w:val="center"/>
              <w:rPr>
                <w:rFonts w:hint="default" w:ascii="微软雅黑" w:hAnsi="微软雅黑" w:eastAsia="微软雅黑" w:cs="微软雅黑"/>
                <w:i w:val="0"/>
                <w:iCs w:val="0"/>
                <w:color w:val="000000"/>
                <w:sz w:val="16"/>
                <w:szCs w:val="16"/>
                <w:u w:val="none"/>
              </w:rPr>
            </w:pPr>
          </w:p>
        </w:tc>
      </w:tr>
      <w:tr w14:paraId="7C106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3CFB3">
            <w:pPr>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5C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B7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09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6"/>
                <w:kern w:val="0"/>
                <w:sz w:val="18"/>
                <w:szCs w:val="18"/>
                <w:u w:val="none"/>
                <w:lang w:val="en-US" w:eastAsia="zh-CN" w:bidi="ar"/>
              </w:rPr>
              <w:t>普查首次整合投入产出调查，形成反映全市经济发展变化数据支撑，数据使用率达</w:t>
            </w:r>
          </w:p>
        </w:tc>
        <w:tc>
          <w:tcPr>
            <w:tcW w:w="113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7EDC7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D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F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2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5C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4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182D">
            <w:pPr>
              <w:jc w:val="center"/>
              <w:rPr>
                <w:rFonts w:hint="default" w:ascii="微软雅黑" w:hAnsi="微软雅黑" w:eastAsia="微软雅黑" w:cs="微软雅黑"/>
                <w:i w:val="0"/>
                <w:iCs w:val="0"/>
                <w:color w:val="000000"/>
                <w:sz w:val="16"/>
                <w:szCs w:val="16"/>
                <w:u w:val="none"/>
              </w:rPr>
            </w:pPr>
          </w:p>
        </w:tc>
      </w:tr>
      <w:tr w14:paraId="43F0C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A8393">
            <w:pPr>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BDF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4AD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7C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提升全社会对第五次经济普查工作的知晓率和配合度</w:t>
            </w:r>
          </w:p>
        </w:tc>
        <w:tc>
          <w:tcPr>
            <w:tcW w:w="113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E3E0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5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A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B6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C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2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BDA8">
            <w:pPr>
              <w:jc w:val="center"/>
              <w:rPr>
                <w:rFonts w:hint="default" w:ascii="微软雅黑" w:hAnsi="微软雅黑" w:eastAsia="微软雅黑" w:cs="微软雅黑"/>
                <w:i w:val="0"/>
                <w:iCs w:val="0"/>
                <w:color w:val="000000"/>
                <w:sz w:val="16"/>
                <w:szCs w:val="16"/>
                <w:u w:val="none"/>
              </w:rPr>
            </w:pPr>
          </w:p>
        </w:tc>
      </w:tr>
      <w:tr w14:paraId="1AF5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97D14">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7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02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97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五经普数据提供决策支撑，数据使用满意率达</w:t>
            </w:r>
          </w:p>
        </w:tc>
        <w:tc>
          <w:tcPr>
            <w:tcW w:w="113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3D537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F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B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6C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39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F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2F89">
            <w:pPr>
              <w:jc w:val="center"/>
              <w:rPr>
                <w:rFonts w:hint="default" w:ascii="微软雅黑" w:hAnsi="微软雅黑" w:eastAsia="微软雅黑" w:cs="微软雅黑"/>
                <w:i w:val="0"/>
                <w:iCs w:val="0"/>
                <w:color w:val="000000"/>
                <w:sz w:val="16"/>
                <w:szCs w:val="16"/>
                <w:u w:val="none"/>
              </w:rPr>
            </w:pPr>
          </w:p>
        </w:tc>
      </w:tr>
      <w:tr w14:paraId="4E98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F2718">
            <w:pPr>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0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F1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6D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五经普宣传、经济普查工作手册（普查员、普查指导员）印制、试点等差旅费、车辆保障等相关费用。</w:t>
            </w:r>
          </w:p>
        </w:tc>
        <w:tc>
          <w:tcPr>
            <w:tcW w:w="113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9943B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ED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110.41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6B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1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110.41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6F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D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D1F1">
            <w:pPr>
              <w:jc w:val="center"/>
              <w:rPr>
                <w:rFonts w:hint="default" w:ascii="微软雅黑" w:hAnsi="微软雅黑" w:eastAsia="微软雅黑" w:cs="微软雅黑"/>
                <w:i w:val="0"/>
                <w:iCs w:val="0"/>
                <w:color w:val="000000"/>
                <w:sz w:val="16"/>
                <w:szCs w:val="16"/>
                <w:u w:val="none"/>
              </w:rPr>
            </w:pPr>
          </w:p>
        </w:tc>
      </w:tr>
      <w:tr w14:paraId="6FF22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DFA0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9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A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D4F5">
            <w:pPr>
              <w:rPr>
                <w:rFonts w:hint="eastAsia" w:ascii="宋体" w:hAnsi="宋体" w:eastAsia="宋体" w:cs="宋体"/>
                <w:i w:val="0"/>
                <w:iCs w:val="0"/>
                <w:color w:val="000000"/>
                <w:sz w:val="18"/>
                <w:szCs w:val="18"/>
                <w:u w:val="none"/>
              </w:rPr>
            </w:pPr>
          </w:p>
        </w:tc>
      </w:tr>
      <w:tr w14:paraId="5F04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A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1B609719">
            <w:pPr>
              <w:keepNext w:val="0"/>
              <w:keepLines w:val="0"/>
              <w:widowControl/>
              <w:suppressLineNumbers w:val="0"/>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项目自评总分99分，2024年普查完成了普查登记，普查数据检查、审核与验收，普查数据质量抽查，普查数据汇总与评估，开展普查总结等相关工作，年终无结余，预算资金执行率100%。</w:t>
            </w:r>
          </w:p>
        </w:tc>
      </w:tr>
      <w:tr w14:paraId="5009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A0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53EF6A2">
            <w:pPr>
              <w:keepNext w:val="0"/>
              <w:keepLines w:val="0"/>
              <w:widowControl/>
              <w:suppressLineNumbers w:val="0"/>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65D1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71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1C55B573">
            <w:pPr>
              <w:keepNext w:val="0"/>
              <w:keepLines w:val="0"/>
              <w:widowControl/>
              <w:suppressLineNumbers w:val="0"/>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00DA6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9F02F0">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项目负责人：张丽</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72594B0">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7543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 w:hRule="atLeast"/>
        </w:trPr>
        <w:tc>
          <w:tcPr>
            <w:tcW w:w="706" w:type="dxa"/>
            <w:tcBorders>
              <w:top w:val="nil"/>
              <w:left w:val="nil"/>
              <w:bottom w:val="nil"/>
              <w:right w:val="nil"/>
            </w:tcBorders>
            <w:shd w:val="clear" w:color="auto" w:fill="auto"/>
            <w:vAlign w:val="center"/>
          </w:tcPr>
          <w:p w14:paraId="595082D0">
            <w:pPr>
              <w:rPr>
                <w:rFonts w:hint="eastAsia" w:ascii="宋体" w:hAnsi="宋体" w:eastAsia="宋体" w:cs="宋体"/>
                <w:i w:val="0"/>
                <w:iCs w:val="0"/>
                <w:color w:val="000000"/>
                <w:sz w:val="18"/>
                <w:szCs w:val="18"/>
                <w:u w:val="none"/>
              </w:rPr>
            </w:pPr>
          </w:p>
        </w:tc>
        <w:tc>
          <w:tcPr>
            <w:tcW w:w="2165" w:type="dxa"/>
            <w:tcBorders>
              <w:top w:val="nil"/>
              <w:left w:val="nil"/>
              <w:bottom w:val="nil"/>
              <w:right w:val="nil"/>
            </w:tcBorders>
            <w:shd w:val="clear" w:color="auto" w:fill="auto"/>
            <w:vAlign w:val="center"/>
          </w:tcPr>
          <w:p w14:paraId="58C06551">
            <w:pPr>
              <w:rPr>
                <w:rFonts w:hint="eastAsia" w:ascii="宋体" w:hAnsi="宋体" w:eastAsia="宋体" w:cs="宋体"/>
                <w:i w:val="0"/>
                <w:iCs w:val="0"/>
                <w:color w:val="000000"/>
                <w:sz w:val="18"/>
                <w:szCs w:val="18"/>
                <w:u w:val="none"/>
              </w:rPr>
            </w:pPr>
          </w:p>
        </w:tc>
        <w:tc>
          <w:tcPr>
            <w:tcW w:w="1524" w:type="dxa"/>
            <w:gridSpan w:val="2"/>
            <w:tcBorders>
              <w:top w:val="nil"/>
              <w:left w:val="nil"/>
              <w:bottom w:val="nil"/>
              <w:right w:val="nil"/>
            </w:tcBorders>
            <w:shd w:val="clear" w:color="auto" w:fill="auto"/>
            <w:vAlign w:val="center"/>
          </w:tcPr>
          <w:p w14:paraId="107311A2">
            <w:pPr>
              <w:rPr>
                <w:rFonts w:hint="eastAsia" w:ascii="宋体" w:hAnsi="宋体" w:eastAsia="宋体" w:cs="宋体"/>
                <w:i w:val="0"/>
                <w:iCs w:val="0"/>
                <w:color w:val="000000"/>
                <w:sz w:val="18"/>
                <w:szCs w:val="18"/>
                <w:u w:val="none"/>
              </w:rPr>
            </w:pPr>
          </w:p>
        </w:tc>
        <w:tc>
          <w:tcPr>
            <w:tcW w:w="2454" w:type="dxa"/>
            <w:tcBorders>
              <w:top w:val="nil"/>
              <w:left w:val="nil"/>
              <w:bottom w:val="nil"/>
              <w:right w:val="nil"/>
            </w:tcBorders>
            <w:shd w:val="clear" w:color="auto" w:fill="auto"/>
            <w:vAlign w:val="center"/>
          </w:tcPr>
          <w:p w14:paraId="06FDB2DB">
            <w:pPr>
              <w:rPr>
                <w:rFonts w:hint="eastAsia" w:ascii="宋体" w:hAnsi="宋体" w:eastAsia="宋体" w:cs="宋体"/>
                <w:i w:val="0"/>
                <w:iCs w:val="0"/>
                <w:color w:val="000000"/>
                <w:sz w:val="18"/>
                <w:szCs w:val="18"/>
                <w:u w:val="none"/>
              </w:rPr>
            </w:pPr>
          </w:p>
        </w:tc>
        <w:tc>
          <w:tcPr>
            <w:tcW w:w="458" w:type="dxa"/>
            <w:tcBorders>
              <w:top w:val="nil"/>
              <w:left w:val="nil"/>
              <w:bottom w:val="nil"/>
              <w:right w:val="nil"/>
            </w:tcBorders>
            <w:shd w:val="clear" w:color="auto" w:fill="auto"/>
            <w:vAlign w:val="center"/>
          </w:tcPr>
          <w:p w14:paraId="57AE810B">
            <w:pPr>
              <w:rPr>
                <w:rFonts w:hint="eastAsia" w:ascii="宋体" w:hAnsi="宋体" w:eastAsia="宋体" w:cs="宋体"/>
                <w:i w:val="0"/>
                <w:iCs w:val="0"/>
                <w:color w:val="000000"/>
                <w:sz w:val="18"/>
                <w:szCs w:val="18"/>
                <w:u w:val="none"/>
              </w:rPr>
            </w:pPr>
          </w:p>
        </w:tc>
        <w:tc>
          <w:tcPr>
            <w:tcW w:w="1448" w:type="dxa"/>
            <w:gridSpan w:val="12"/>
            <w:tcBorders>
              <w:top w:val="nil"/>
              <w:left w:val="nil"/>
              <w:bottom w:val="nil"/>
              <w:right w:val="nil"/>
            </w:tcBorders>
            <w:shd w:val="clear" w:color="auto" w:fill="auto"/>
            <w:vAlign w:val="center"/>
          </w:tcPr>
          <w:p w14:paraId="1713571A">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5C970BBF">
            <w:pPr>
              <w:rPr>
                <w:rFonts w:hint="eastAsia" w:ascii="宋体" w:hAnsi="宋体" w:eastAsia="宋体" w:cs="宋体"/>
                <w:i w:val="0"/>
                <w:iCs w:val="0"/>
                <w:color w:val="000000"/>
                <w:sz w:val="18"/>
                <w:szCs w:val="18"/>
                <w:u w:val="none"/>
              </w:rPr>
            </w:pPr>
          </w:p>
        </w:tc>
        <w:tc>
          <w:tcPr>
            <w:tcW w:w="957" w:type="dxa"/>
            <w:tcBorders>
              <w:top w:val="nil"/>
              <w:left w:val="nil"/>
              <w:bottom w:val="nil"/>
              <w:right w:val="nil"/>
            </w:tcBorders>
            <w:shd w:val="clear" w:color="auto" w:fill="auto"/>
            <w:vAlign w:val="center"/>
          </w:tcPr>
          <w:p w14:paraId="6ED3CECB">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40AD3C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8B86C40">
            <w:pPr>
              <w:jc w:val="center"/>
              <w:rPr>
                <w:rFonts w:hint="eastAsia" w:ascii="宋体" w:hAnsi="宋体" w:eastAsia="宋体" w:cs="宋体"/>
                <w:i w:val="0"/>
                <w:iCs w:val="0"/>
                <w:color w:val="000000"/>
                <w:sz w:val="18"/>
                <w:szCs w:val="18"/>
                <w:u w:val="none"/>
              </w:rPr>
            </w:pPr>
          </w:p>
        </w:tc>
        <w:tc>
          <w:tcPr>
            <w:tcW w:w="2480" w:type="dxa"/>
            <w:tcBorders>
              <w:top w:val="nil"/>
              <w:left w:val="nil"/>
              <w:bottom w:val="nil"/>
              <w:right w:val="nil"/>
            </w:tcBorders>
            <w:shd w:val="clear" w:color="auto" w:fill="auto"/>
            <w:vAlign w:val="center"/>
          </w:tcPr>
          <w:p w14:paraId="12336F8D">
            <w:pPr>
              <w:rPr>
                <w:rFonts w:hint="eastAsia" w:ascii="宋体" w:hAnsi="宋体" w:eastAsia="宋体" w:cs="宋体"/>
                <w:i w:val="0"/>
                <w:iCs w:val="0"/>
                <w:color w:val="000000"/>
                <w:sz w:val="18"/>
                <w:szCs w:val="18"/>
                <w:u w:val="none"/>
              </w:rPr>
            </w:pPr>
          </w:p>
        </w:tc>
      </w:tr>
      <w:tr w14:paraId="70EC1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FB066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39F6B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29A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C7A7F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51080023T000008618947-高层次人才安家补助和工作补助</w:t>
            </w:r>
          </w:p>
        </w:tc>
      </w:tr>
      <w:tr w14:paraId="6A0C4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981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73300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3F722AB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23AE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77A8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3F1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E99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F0DB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EA7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2E0E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5281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1535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D151F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高层次人才安家及引进人才费用</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C0A3C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1名高层次人才安家费8万元，引进人才费用生活补助500元每月，足额发放到位，预算执行率100%</w:t>
            </w:r>
          </w:p>
        </w:tc>
      </w:tr>
      <w:tr w14:paraId="6881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E0D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67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9DBCC1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6"/>
                <w:kern w:val="0"/>
                <w:sz w:val="18"/>
                <w:szCs w:val="18"/>
                <w:u w:val="none"/>
                <w:lang w:val="en-US" w:eastAsia="zh-CN" w:bidi="ar"/>
              </w:rPr>
              <w:t>2023年12月下达人才引进补助资金，2024年度引进人才1名，安家补助8万元，生活补助0.3万元；以前年度引进人才生活补助2024年度 4.5万元，追加2023年度生活补助5.4万元，项目总金额为18.2万元，资金预算执行到人头，生活补助500每月随工资发放，年终追加指标</w:t>
            </w:r>
            <w:r>
              <w:rPr>
                <w:rFonts w:ascii="宋体" w:hAnsi="宋体" w:eastAsia="宋体" w:cs="宋体"/>
                <w:i w:val="0"/>
                <w:iCs w:val="0"/>
                <w:color w:val="000000"/>
                <w:kern w:val="0"/>
                <w:sz w:val="18"/>
                <w:szCs w:val="18"/>
                <w:u w:val="none"/>
                <w:lang w:val="en-US" w:eastAsia="zh-CN" w:bidi="ar"/>
              </w:rPr>
              <w:t>。</w:t>
            </w:r>
          </w:p>
        </w:tc>
      </w:tr>
      <w:tr w14:paraId="1424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C9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A4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26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2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27EE1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8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60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78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2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B3B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249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10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C8C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E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C5F5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7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E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D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98E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3B9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D99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C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04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C7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E2F0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4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D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3D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45526">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7568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8CC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2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03C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D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4FE5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5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E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A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D0565">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2F7E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AD5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5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FB6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05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2F4FF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A5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31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D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FB5DD">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4E724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4A8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E5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14ABC">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E0DB">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B0A40A9">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D6ED">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69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0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81B3C">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34E5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36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8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25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1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056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6A26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9AE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 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E5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95F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E1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CB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377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650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B4B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2E9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80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2022年高层次人才引进人事</w:t>
            </w:r>
          </w:p>
        </w:tc>
        <w:tc>
          <w:tcPr>
            <w:tcW w:w="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12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5A4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02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E9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A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3B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1B18">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6130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756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14F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061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25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引进人才生活补助月份</w:t>
            </w:r>
          </w:p>
        </w:tc>
        <w:tc>
          <w:tcPr>
            <w:tcW w:w="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8A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941D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E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0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A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2B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0A39">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1780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0A7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326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BA6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62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提升统计系统队伍建设</w:t>
            </w:r>
          </w:p>
        </w:tc>
        <w:tc>
          <w:tcPr>
            <w:tcW w:w="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ADB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7F2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7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2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6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80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A7B9">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6752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6D7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C3D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82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94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安家费及补助</w:t>
            </w:r>
          </w:p>
        </w:tc>
        <w:tc>
          <w:tcPr>
            <w:tcW w:w="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E9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31D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42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8A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DA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8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519D">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2E34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215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E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5B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18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统计系统队伍建设</w:t>
            </w:r>
          </w:p>
        </w:tc>
        <w:tc>
          <w:tcPr>
            <w:tcW w:w="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39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5F0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C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95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B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6E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1346">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285B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E60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9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C66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60F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高层次人才引进对单位人才队伍结构优化率</w:t>
            </w:r>
          </w:p>
        </w:tc>
        <w:tc>
          <w:tcPr>
            <w:tcW w:w="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B6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C53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1B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C7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C6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C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0D7F">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220A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31F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6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6DD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50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安家费及半年补助</w:t>
            </w:r>
          </w:p>
        </w:tc>
        <w:tc>
          <w:tcPr>
            <w:tcW w:w="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10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FA1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72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8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B6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8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AED8">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3E06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5DD1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F0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1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792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572A5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0C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31796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项目自评总分100分，按要求支付到位，保证了专项资金专款专用，年终无结余，预算执行率100%。</w:t>
            </w:r>
          </w:p>
        </w:tc>
      </w:tr>
      <w:tr w14:paraId="647D9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6D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C67C9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5C9D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2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EDE9F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7F8A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A5D478">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项目负责人：刘阳</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1D6BA70">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152B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6" w:type="dxa"/>
            <w:tcBorders>
              <w:top w:val="nil"/>
              <w:left w:val="nil"/>
              <w:bottom w:val="nil"/>
              <w:right w:val="nil"/>
            </w:tcBorders>
            <w:shd w:val="clear" w:color="auto" w:fill="auto"/>
            <w:vAlign w:val="center"/>
          </w:tcPr>
          <w:p w14:paraId="247C90D9">
            <w:pPr>
              <w:rPr>
                <w:rFonts w:hint="eastAsia" w:ascii="宋体" w:hAnsi="宋体" w:eastAsia="宋体" w:cs="宋体"/>
                <w:i w:val="0"/>
                <w:iCs w:val="0"/>
                <w:color w:val="000000"/>
                <w:sz w:val="18"/>
                <w:szCs w:val="18"/>
                <w:u w:val="none"/>
              </w:rPr>
            </w:pPr>
          </w:p>
        </w:tc>
        <w:tc>
          <w:tcPr>
            <w:tcW w:w="2165" w:type="dxa"/>
            <w:tcBorders>
              <w:top w:val="nil"/>
              <w:left w:val="nil"/>
              <w:bottom w:val="nil"/>
              <w:right w:val="nil"/>
            </w:tcBorders>
            <w:shd w:val="clear" w:color="auto" w:fill="auto"/>
            <w:vAlign w:val="center"/>
          </w:tcPr>
          <w:p w14:paraId="59954E6E">
            <w:pPr>
              <w:rPr>
                <w:rFonts w:hint="eastAsia" w:ascii="宋体" w:hAnsi="宋体" w:eastAsia="宋体" w:cs="宋体"/>
                <w:i w:val="0"/>
                <w:iCs w:val="0"/>
                <w:color w:val="000000"/>
                <w:sz w:val="18"/>
                <w:szCs w:val="18"/>
                <w:u w:val="none"/>
              </w:rPr>
            </w:pPr>
          </w:p>
        </w:tc>
        <w:tc>
          <w:tcPr>
            <w:tcW w:w="1524" w:type="dxa"/>
            <w:gridSpan w:val="2"/>
            <w:tcBorders>
              <w:top w:val="nil"/>
              <w:left w:val="nil"/>
              <w:bottom w:val="nil"/>
              <w:right w:val="nil"/>
            </w:tcBorders>
            <w:shd w:val="clear" w:color="auto" w:fill="auto"/>
            <w:vAlign w:val="center"/>
          </w:tcPr>
          <w:p w14:paraId="7EF278D2">
            <w:pPr>
              <w:rPr>
                <w:rFonts w:hint="eastAsia" w:ascii="宋体" w:hAnsi="宋体" w:eastAsia="宋体" w:cs="宋体"/>
                <w:i w:val="0"/>
                <w:iCs w:val="0"/>
                <w:color w:val="000000"/>
                <w:sz w:val="18"/>
                <w:szCs w:val="18"/>
                <w:u w:val="none"/>
              </w:rPr>
            </w:pPr>
          </w:p>
        </w:tc>
        <w:tc>
          <w:tcPr>
            <w:tcW w:w="2454" w:type="dxa"/>
            <w:tcBorders>
              <w:top w:val="nil"/>
              <w:left w:val="nil"/>
              <w:bottom w:val="nil"/>
              <w:right w:val="nil"/>
            </w:tcBorders>
            <w:shd w:val="clear" w:color="auto" w:fill="auto"/>
            <w:vAlign w:val="center"/>
          </w:tcPr>
          <w:p w14:paraId="0E5092EF">
            <w:pPr>
              <w:rPr>
                <w:rFonts w:hint="eastAsia" w:ascii="宋体" w:hAnsi="宋体" w:eastAsia="宋体" w:cs="宋体"/>
                <w:i w:val="0"/>
                <w:iCs w:val="0"/>
                <w:color w:val="000000"/>
                <w:sz w:val="18"/>
                <w:szCs w:val="18"/>
                <w:u w:val="none"/>
              </w:rPr>
            </w:pPr>
          </w:p>
          <w:p w14:paraId="2DEC9578">
            <w:pPr>
              <w:pStyle w:val="2"/>
              <w:rPr>
                <w:rFonts w:hint="eastAsia" w:ascii="宋体" w:hAnsi="宋体" w:eastAsia="宋体" w:cs="宋体"/>
                <w:i w:val="0"/>
                <w:iCs w:val="0"/>
                <w:color w:val="000000"/>
                <w:sz w:val="18"/>
                <w:szCs w:val="18"/>
                <w:u w:val="none"/>
              </w:rPr>
            </w:pPr>
          </w:p>
          <w:p w14:paraId="052721BD">
            <w:pPr>
              <w:pStyle w:val="2"/>
              <w:rPr>
                <w:rFonts w:hint="eastAsia" w:ascii="宋体" w:hAnsi="宋体" w:eastAsia="宋体" w:cs="宋体"/>
                <w:i w:val="0"/>
                <w:iCs w:val="0"/>
                <w:color w:val="000000"/>
                <w:sz w:val="18"/>
                <w:szCs w:val="18"/>
                <w:u w:val="none"/>
              </w:rPr>
            </w:pPr>
          </w:p>
          <w:p w14:paraId="30E69283">
            <w:pPr>
              <w:pStyle w:val="2"/>
              <w:rPr>
                <w:rFonts w:hint="eastAsia" w:ascii="宋体" w:hAnsi="宋体" w:eastAsia="宋体" w:cs="宋体"/>
                <w:i w:val="0"/>
                <w:iCs w:val="0"/>
                <w:color w:val="000000"/>
                <w:sz w:val="18"/>
                <w:szCs w:val="18"/>
                <w:u w:val="none"/>
              </w:rPr>
            </w:pPr>
          </w:p>
          <w:p w14:paraId="00A3E106">
            <w:pPr>
              <w:pStyle w:val="2"/>
              <w:rPr>
                <w:rFonts w:hint="eastAsia" w:ascii="宋体" w:hAnsi="宋体" w:eastAsia="宋体" w:cs="宋体"/>
                <w:i w:val="0"/>
                <w:iCs w:val="0"/>
                <w:color w:val="000000"/>
                <w:sz w:val="18"/>
                <w:szCs w:val="18"/>
                <w:u w:val="none"/>
              </w:rPr>
            </w:pPr>
          </w:p>
          <w:p w14:paraId="5A9D48C9">
            <w:pPr>
              <w:pStyle w:val="2"/>
              <w:rPr>
                <w:rFonts w:hint="eastAsia" w:ascii="宋体" w:hAnsi="宋体" w:eastAsia="宋体" w:cs="宋体"/>
                <w:i w:val="0"/>
                <w:iCs w:val="0"/>
                <w:color w:val="000000"/>
                <w:sz w:val="18"/>
                <w:szCs w:val="18"/>
                <w:u w:val="none"/>
              </w:rPr>
            </w:pPr>
          </w:p>
          <w:p w14:paraId="4D5B4E5F">
            <w:pPr>
              <w:pStyle w:val="2"/>
              <w:rPr>
                <w:rFonts w:hint="eastAsia" w:ascii="宋体" w:hAnsi="宋体" w:eastAsia="宋体" w:cs="宋体"/>
                <w:i w:val="0"/>
                <w:iCs w:val="0"/>
                <w:color w:val="000000"/>
                <w:sz w:val="18"/>
                <w:szCs w:val="18"/>
                <w:u w:val="none"/>
              </w:rPr>
            </w:pPr>
          </w:p>
          <w:p w14:paraId="793E395F">
            <w:pPr>
              <w:pStyle w:val="2"/>
              <w:rPr>
                <w:rFonts w:hint="eastAsia" w:ascii="宋体" w:hAnsi="宋体" w:eastAsia="宋体" w:cs="宋体"/>
                <w:i w:val="0"/>
                <w:iCs w:val="0"/>
                <w:color w:val="000000"/>
                <w:sz w:val="18"/>
                <w:szCs w:val="18"/>
                <w:u w:val="none"/>
              </w:rPr>
            </w:pPr>
          </w:p>
          <w:p w14:paraId="4F2A0485">
            <w:pPr>
              <w:pStyle w:val="2"/>
              <w:rPr>
                <w:rFonts w:hint="eastAsia" w:ascii="宋体" w:hAnsi="宋体" w:eastAsia="宋体" w:cs="宋体"/>
                <w:i w:val="0"/>
                <w:iCs w:val="0"/>
                <w:color w:val="000000"/>
                <w:sz w:val="18"/>
                <w:szCs w:val="18"/>
                <w:u w:val="none"/>
              </w:rPr>
            </w:pPr>
          </w:p>
          <w:p w14:paraId="400A7AF2">
            <w:pPr>
              <w:pStyle w:val="2"/>
              <w:rPr>
                <w:rFonts w:hint="eastAsia" w:ascii="宋体" w:hAnsi="宋体" w:eastAsia="宋体" w:cs="宋体"/>
                <w:i w:val="0"/>
                <w:iCs w:val="0"/>
                <w:color w:val="000000"/>
                <w:sz w:val="18"/>
                <w:szCs w:val="18"/>
                <w:u w:val="none"/>
              </w:rPr>
            </w:pPr>
          </w:p>
          <w:p w14:paraId="16ADABC7">
            <w:pPr>
              <w:pStyle w:val="2"/>
              <w:rPr>
                <w:rFonts w:hint="eastAsia" w:ascii="宋体" w:hAnsi="宋体" w:eastAsia="宋体" w:cs="宋体"/>
                <w:i w:val="0"/>
                <w:iCs w:val="0"/>
                <w:color w:val="000000"/>
                <w:sz w:val="18"/>
                <w:szCs w:val="18"/>
                <w:u w:val="none"/>
              </w:rPr>
            </w:pPr>
          </w:p>
          <w:p w14:paraId="313F3E03">
            <w:pPr>
              <w:pStyle w:val="2"/>
              <w:rPr>
                <w:rFonts w:hint="eastAsia" w:ascii="宋体" w:hAnsi="宋体" w:eastAsia="宋体" w:cs="宋体"/>
                <w:i w:val="0"/>
                <w:iCs w:val="0"/>
                <w:color w:val="000000"/>
                <w:sz w:val="18"/>
                <w:szCs w:val="18"/>
                <w:u w:val="none"/>
              </w:rPr>
            </w:pPr>
          </w:p>
        </w:tc>
        <w:tc>
          <w:tcPr>
            <w:tcW w:w="458" w:type="dxa"/>
            <w:tcBorders>
              <w:top w:val="nil"/>
              <w:left w:val="nil"/>
              <w:bottom w:val="nil"/>
              <w:right w:val="nil"/>
            </w:tcBorders>
            <w:shd w:val="clear" w:color="auto" w:fill="auto"/>
            <w:vAlign w:val="center"/>
          </w:tcPr>
          <w:p w14:paraId="2631D412">
            <w:pPr>
              <w:rPr>
                <w:rFonts w:hint="eastAsia" w:ascii="宋体" w:hAnsi="宋体" w:eastAsia="宋体" w:cs="宋体"/>
                <w:i w:val="0"/>
                <w:iCs w:val="0"/>
                <w:color w:val="000000"/>
                <w:sz w:val="18"/>
                <w:szCs w:val="18"/>
                <w:u w:val="none"/>
              </w:rPr>
            </w:pPr>
          </w:p>
        </w:tc>
        <w:tc>
          <w:tcPr>
            <w:tcW w:w="1448" w:type="dxa"/>
            <w:gridSpan w:val="12"/>
            <w:tcBorders>
              <w:top w:val="nil"/>
              <w:left w:val="nil"/>
              <w:bottom w:val="nil"/>
              <w:right w:val="nil"/>
            </w:tcBorders>
            <w:shd w:val="clear" w:color="auto" w:fill="auto"/>
            <w:vAlign w:val="center"/>
          </w:tcPr>
          <w:p w14:paraId="796C962A">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38FA9930">
            <w:pPr>
              <w:rPr>
                <w:rFonts w:hint="eastAsia" w:ascii="宋体" w:hAnsi="宋体" w:eastAsia="宋体" w:cs="宋体"/>
                <w:i w:val="0"/>
                <w:iCs w:val="0"/>
                <w:color w:val="000000"/>
                <w:sz w:val="18"/>
                <w:szCs w:val="18"/>
                <w:u w:val="none"/>
              </w:rPr>
            </w:pPr>
          </w:p>
        </w:tc>
        <w:tc>
          <w:tcPr>
            <w:tcW w:w="957" w:type="dxa"/>
            <w:tcBorders>
              <w:top w:val="nil"/>
              <w:left w:val="nil"/>
              <w:bottom w:val="nil"/>
              <w:right w:val="nil"/>
            </w:tcBorders>
            <w:shd w:val="clear" w:color="auto" w:fill="auto"/>
            <w:vAlign w:val="center"/>
          </w:tcPr>
          <w:p w14:paraId="26974E20">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F5434FC">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29E122F">
            <w:pPr>
              <w:jc w:val="center"/>
              <w:rPr>
                <w:rFonts w:hint="eastAsia" w:ascii="宋体" w:hAnsi="宋体" w:eastAsia="宋体" w:cs="宋体"/>
                <w:i w:val="0"/>
                <w:iCs w:val="0"/>
                <w:color w:val="000000"/>
                <w:sz w:val="18"/>
                <w:szCs w:val="18"/>
                <w:u w:val="none"/>
              </w:rPr>
            </w:pPr>
          </w:p>
        </w:tc>
        <w:tc>
          <w:tcPr>
            <w:tcW w:w="2480" w:type="dxa"/>
            <w:tcBorders>
              <w:top w:val="nil"/>
              <w:left w:val="nil"/>
              <w:bottom w:val="nil"/>
              <w:right w:val="nil"/>
            </w:tcBorders>
            <w:shd w:val="clear" w:color="auto" w:fill="auto"/>
            <w:vAlign w:val="center"/>
          </w:tcPr>
          <w:p w14:paraId="3CAF1D68">
            <w:pPr>
              <w:rPr>
                <w:rFonts w:hint="eastAsia" w:ascii="宋体" w:hAnsi="宋体" w:eastAsia="宋体" w:cs="宋体"/>
                <w:i w:val="0"/>
                <w:iCs w:val="0"/>
                <w:color w:val="000000"/>
                <w:sz w:val="18"/>
                <w:szCs w:val="18"/>
                <w:u w:val="none"/>
              </w:rPr>
            </w:pPr>
          </w:p>
        </w:tc>
      </w:tr>
      <w:tr w14:paraId="20FC1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6" w:type="dxa"/>
            <w:tcBorders>
              <w:top w:val="nil"/>
              <w:left w:val="nil"/>
              <w:bottom w:val="nil"/>
              <w:right w:val="nil"/>
            </w:tcBorders>
            <w:shd w:val="clear" w:color="auto" w:fill="auto"/>
            <w:vAlign w:val="center"/>
          </w:tcPr>
          <w:p w14:paraId="5E1E981B">
            <w:pPr>
              <w:rPr>
                <w:rFonts w:hint="eastAsia" w:ascii="宋体" w:hAnsi="宋体" w:eastAsia="宋体" w:cs="宋体"/>
                <w:i w:val="0"/>
                <w:iCs w:val="0"/>
                <w:color w:val="000000"/>
                <w:sz w:val="18"/>
                <w:szCs w:val="18"/>
                <w:u w:val="none"/>
              </w:rPr>
            </w:pPr>
          </w:p>
        </w:tc>
        <w:tc>
          <w:tcPr>
            <w:tcW w:w="2165" w:type="dxa"/>
            <w:tcBorders>
              <w:top w:val="nil"/>
              <w:left w:val="nil"/>
              <w:bottom w:val="nil"/>
              <w:right w:val="nil"/>
            </w:tcBorders>
            <w:shd w:val="clear" w:color="auto" w:fill="auto"/>
            <w:vAlign w:val="center"/>
          </w:tcPr>
          <w:p w14:paraId="43E86B11">
            <w:pPr>
              <w:rPr>
                <w:rFonts w:hint="eastAsia" w:ascii="宋体" w:hAnsi="宋体" w:eastAsia="宋体" w:cs="宋体"/>
                <w:i w:val="0"/>
                <w:iCs w:val="0"/>
                <w:color w:val="000000"/>
                <w:sz w:val="18"/>
                <w:szCs w:val="18"/>
                <w:u w:val="none"/>
              </w:rPr>
            </w:pPr>
          </w:p>
        </w:tc>
        <w:tc>
          <w:tcPr>
            <w:tcW w:w="1524" w:type="dxa"/>
            <w:gridSpan w:val="2"/>
            <w:tcBorders>
              <w:top w:val="nil"/>
              <w:left w:val="nil"/>
              <w:bottom w:val="nil"/>
              <w:right w:val="nil"/>
            </w:tcBorders>
            <w:shd w:val="clear" w:color="auto" w:fill="auto"/>
            <w:vAlign w:val="center"/>
          </w:tcPr>
          <w:p w14:paraId="2459895C">
            <w:pPr>
              <w:rPr>
                <w:rFonts w:hint="eastAsia" w:ascii="宋体" w:hAnsi="宋体" w:eastAsia="宋体" w:cs="宋体"/>
                <w:i w:val="0"/>
                <w:iCs w:val="0"/>
                <w:color w:val="000000"/>
                <w:sz w:val="18"/>
                <w:szCs w:val="18"/>
                <w:u w:val="none"/>
              </w:rPr>
            </w:pPr>
          </w:p>
        </w:tc>
        <w:tc>
          <w:tcPr>
            <w:tcW w:w="2454" w:type="dxa"/>
            <w:tcBorders>
              <w:top w:val="nil"/>
              <w:left w:val="nil"/>
              <w:bottom w:val="nil"/>
              <w:right w:val="nil"/>
            </w:tcBorders>
            <w:shd w:val="clear" w:color="auto" w:fill="auto"/>
            <w:vAlign w:val="center"/>
          </w:tcPr>
          <w:p w14:paraId="6308CCFE">
            <w:pPr>
              <w:rPr>
                <w:rFonts w:hint="eastAsia" w:ascii="宋体" w:hAnsi="宋体" w:eastAsia="宋体" w:cs="宋体"/>
                <w:i w:val="0"/>
                <w:iCs w:val="0"/>
                <w:color w:val="000000"/>
                <w:sz w:val="18"/>
                <w:szCs w:val="18"/>
                <w:u w:val="none"/>
              </w:rPr>
            </w:pPr>
          </w:p>
        </w:tc>
        <w:tc>
          <w:tcPr>
            <w:tcW w:w="458" w:type="dxa"/>
            <w:tcBorders>
              <w:top w:val="nil"/>
              <w:left w:val="nil"/>
              <w:bottom w:val="nil"/>
              <w:right w:val="nil"/>
            </w:tcBorders>
            <w:shd w:val="clear" w:color="auto" w:fill="auto"/>
            <w:vAlign w:val="center"/>
          </w:tcPr>
          <w:p w14:paraId="38354DD8">
            <w:pPr>
              <w:rPr>
                <w:rFonts w:hint="eastAsia" w:ascii="宋体" w:hAnsi="宋体" w:eastAsia="宋体" w:cs="宋体"/>
                <w:i w:val="0"/>
                <w:iCs w:val="0"/>
                <w:color w:val="000000"/>
                <w:sz w:val="18"/>
                <w:szCs w:val="18"/>
                <w:u w:val="none"/>
              </w:rPr>
            </w:pPr>
          </w:p>
        </w:tc>
        <w:tc>
          <w:tcPr>
            <w:tcW w:w="1448" w:type="dxa"/>
            <w:gridSpan w:val="12"/>
            <w:tcBorders>
              <w:top w:val="nil"/>
              <w:left w:val="nil"/>
              <w:bottom w:val="nil"/>
              <w:right w:val="nil"/>
            </w:tcBorders>
            <w:shd w:val="clear" w:color="auto" w:fill="auto"/>
            <w:vAlign w:val="center"/>
          </w:tcPr>
          <w:p w14:paraId="69FAAF79">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08AFD81">
            <w:pPr>
              <w:rPr>
                <w:rFonts w:hint="eastAsia" w:ascii="宋体" w:hAnsi="宋体" w:eastAsia="宋体" w:cs="宋体"/>
                <w:i w:val="0"/>
                <w:iCs w:val="0"/>
                <w:color w:val="000000"/>
                <w:sz w:val="18"/>
                <w:szCs w:val="18"/>
                <w:u w:val="none"/>
              </w:rPr>
            </w:pPr>
          </w:p>
        </w:tc>
        <w:tc>
          <w:tcPr>
            <w:tcW w:w="957" w:type="dxa"/>
            <w:tcBorders>
              <w:top w:val="nil"/>
              <w:left w:val="nil"/>
              <w:bottom w:val="nil"/>
              <w:right w:val="nil"/>
            </w:tcBorders>
            <w:shd w:val="clear" w:color="auto" w:fill="auto"/>
            <w:vAlign w:val="center"/>
          </w:tcPr>
          <w:p w14:paraId="1239A068">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01C5BC2">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5933989">
            <w:pPr>
              <w:jc w:val="center"/>
              <w:rPr>
                <w:rFonts w:hint="eastAsia" w:ascii="宋体" w:hAnsi="宋体" w:eastAsia="宋体" w:cs="宋体"/>
                <w:i w:val="0"/>
                <w:iCs w:val="0"/>
                <w:color w:val="000000"/>
                <w:sz w:val="18"/>
                <w:szCs w:val="18"/>
                <w:u w:val="none"/>
              </w:rPr>
            </w:pPr>
          </w:p>
        </w:tc>
        <w:tc>
          <w:tcPr>
            <w:tcW w:w="2480" w:type="dxa"/>
            <w:tcBorders>
              <w:top w:val="nil"/>
              <w:left w:val="nil"/>
              <w:bottom w:val="nil"/>
              <w:right w:val="nil"/>
            </w:tcBorders>
            <w:shd w:val="clear" w:color="auto" w:fill="auto"/>
            <w:vAlign w:val="center"/>
          </w:tcPr>
          <w:p w14:paraId="7E06972A">
            <w:pPr>
              <w:rPr>
                <w:rFonts w:hint="eastAsia" w:ascii="宋体" w:hAnsi="宋体" w:eastAsia="宋体" w:cs="宋体"/>
                <w:i w:val="0"/>
                <w:iCs w:val="0"/>
                <w:color w:val="000000"/>
                <w:sz w:val="18"/>
                <w:szCs w:val="18"/>
                <w:u w:val="none"/>
              </w:rPr>
            </w:pPr>
          </w:p>
        </w:tc>
      </w:tr>
      <w:tr w14:paraId="179E0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8A9CA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5943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01A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1F419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51080024R000010823060-单位缴费（在职人员五险两金）</w:t>
            </w:r>
          </w:p>
        </w:tc>
      </w:tr>
      <w:tr w14:paraId="7059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6B9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9A829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1F66CE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88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5484D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B02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FE6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2DDED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F4D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0ECD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0566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89AD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386A6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严格执行相关政策，保障五险两金及时、足额缴纳，预算编制科学合理，减少结余资金。</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5346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spacing w:val="-11"/>
                <w:kern w:val="0"/>
                <w:sz w:val="18"/>
                <w:szCs w:val="18"/>
                <w:u w:val="none"/>
                <w:lang w:val="en-US" w:eastAsia="zh-CN" w:bidi="ar"/>
              </w:rPr>
              <w:t>按要求及时、足额缴纳在职人员五险两金，预算执行率100%</w:t>
            </w:r>
          </w:p>
        </w:tc>
      </w:tr>
      <w:tr w14:paraId="183D6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9E36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65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spacing w:val="-11"/>
                <w:kern w:val="0"/>
                <w:sz w:val="18"/>
                <w:szCs w:val="18"/>
                <w:u w:val="none"/>
                <w:lang w:val="en-US" w:eastAsia="zh-CN" w:bidi="ar"/>
              </w:rPr>
              <w:t>.项目实施内容及过程概述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348D4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严格执行相关政策，按月、按时缴纳在职人员五险两金，缴纳覆盖率、参保率达到100%。</w:t>
            </w:r>
          </w:p>
        </w:tc>
      </w:tr>
      <w:tr w14:paraId="02D2C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92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C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94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7C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F9BC3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2E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DE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B0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9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F1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9DA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4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F6C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164.29</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2B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173.34</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DA250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173.34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1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4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D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A8F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BE81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E77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A7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FD8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164.29</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F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173.34</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B2F1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173.34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F4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46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A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E8357">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1747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CDC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6C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8D6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B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2430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E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6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6C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92268">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7F38F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D11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B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D3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1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4982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3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D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9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635BA">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21D9C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4BB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DF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3279C">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F4F6">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58A6573">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2190">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8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5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A4B07">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6BBB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0B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B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B8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4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4B8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6CC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39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w:t>
            </w:r>
          </w:p>
          <w:p w14:paraId="7BF0D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5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7C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7E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8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814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034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3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98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A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C480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8BCB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1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03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8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5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7E5A">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4F1A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82F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A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D3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8A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759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9AE6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9D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91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93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C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A765">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106B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27DE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8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EF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44D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B2B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4D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FD098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项目自评总分100分，按要求及时、足额缴纳在职人员五险两金，年终无结余，预算执行率100%</w:t>
            </w:r>
          </w:p>
        </w:tc>
      </w:tr>
      <w:tr w14:paraId="2D4B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9C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5F814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无</w:t>
            </w:r>
          </w:p>
        </w:tc>
      </w:tr>
      <w:tr w14:paraId="2BC0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FF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44B0B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无</w:t>
            </w:r>
          </w:p>
        </w:tc>
      </w:tr>
      <w:tr w14:paraId="329D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364D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项目负责人：陈婷婷</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89996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169EA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96F0F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2331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871" w:type="dxa"/>
            <w:gridSpan w:val="2"/>
            <w:tcBorders>
              <w:top w:val="nil"/>
              <w:left w:val="single" w:color="000000" w:sz="4" w:space="0"/>
              <w:bottom w:val="single" w:color="000000" w:sz="4" w:space="0"/>
              <w:right w:val="single" w:color="000000" w:sz="4" w:space="0"/>
            </w:tcBorders>
            <w:shd w:val="clear" w:color="auto" w:fill="auto"/>
            <w:vAlign w:val="center"/>
          </w:tcPr>
          <w:p w14:paraId="24D39D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nil"/>
              <w:left w:val="single" w:color="000000" w:sz="4" w:space="0"/>
              <w:bottom w:val="single" w:color="000000" w:sz="4" w:space="0"/>
              <w:right w:val="single" w:color="000000" w:sz="4" w:space="0"/>
            </w:tcBorders>
            <w:shd w:val="clear" w:color="auto" w:fill="auto"/>
            <w:vAlign w:val="center"/>
          </w:tcPr>
          <w:p w14:paraId="7AC6F6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51080024R000010823428-事业人员工资性支出</w:t>
            </w:r>
          </w:p>
        </w:tc>
      </w:tr>
      <w:tr w14:paraId="3CA7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462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nil"/>
              <w:left w:val="single" w:color="000000" w:sz="4" w:space="0"/>
              <w:bottom w:val="single" w:color="000000" w:sz="4" w:space="0"/>
              <w:right w:val="single" w:color="000000" w:sz="4" w:space="0"/>
            </w:tcBorders>
            <w:shd w:val="clear" w:color="auto" w:fill="auto"/>
            <w:vAlign w:val="center"/>
          </w:tcPr>
          <w:p w14:paraId="1F1642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3A56C85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nil"/>
              <w:left w:val="single" w:color="000000" w:sz="4" w:space="0"/>
              <w:bottom w:val="single" w:color="000000" w:sz="4" w:space="0"/>
              <w:right w:val="single" w:color="000000" w:sz="4" w:space="0"/>
            </w:tcBorders>
            <w:shd w:val="clear" w:color="auto" w:fill="auto"/>
            <w:vAlign w:val="center"/>
          </w:tcPr>
          <w:p w14:paraId="0A66B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2910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4E1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6A7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12CD9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0B29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6B4E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5956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6C7F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D94EE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严格执行相关政策，保障事业人员工资性支出及时、足额发放，预算编制科学合理，减少结余资金。</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3EF9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事业人员工资性支出足额补助到位，预算执行100%</w:t>
            </w:r>
          </w:p>
        </w:tc>
      </w:tr>
      <w:tr w14:paraId="439FA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0959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3A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spacing w:val="-11"/>
                <w:kern w:val="0"/>
                <w:sz w:val="18"/>
                <w:szCs w:val="18"/>
                <w:u w:val="none"/>
                <w:lang w:val="en-US" w:eastAsia="zh-CN" w:bidi="ar"/>
              </w:rPr>
              <w:t>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54800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严格执行相关政策，及时、足额发放人员工资，确保发放覆盖率、足额保障率均达到100%。</w:t>
            </w:r>
          </w:p>
        </w:tc>
      </w:tr>
      <w:tr w14:paraId="5F6D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BE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05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EE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3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C263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AC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2E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6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A5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53A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6B4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5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C3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96.52</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D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96.52</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6E63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2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2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B0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9D1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2F6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840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9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1C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96.52</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B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96.52</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0308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9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6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22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5A817">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3876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6E6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29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327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BF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BE51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1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3B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E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FE457">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23B5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09E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B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6D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5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20A0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8E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7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E9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1B8B3">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5468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F2A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4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82BCC">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C63E">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CD7E31B">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2687">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EE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90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8DA8E">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6C686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BB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D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70D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A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4DDB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8EF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AD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w:t>
            </w:r>
          </w:p>
          <w:p w14:paraId="2243392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4B2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50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10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5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413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477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F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EBF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C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EEB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C7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99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0C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1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7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7E63">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2A16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F94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D4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31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B4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FA6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E6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6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3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F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15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B2A4">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1471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7337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F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0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01F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13DD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BD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A4DD2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项目自评总分100分，事业人员工资性支出足额发放到位，年终无结余，预算执行100%</w:t>
            </w:r>
          </w:p>
        </w:tc>
      </w:tr>
      <w:tr w14:paraId="21EE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0ED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1E594B7">
            <w:pPr>
              <w:keepNext w:val="0"/>
              <w:keepLines w:val="0"/>
              <w:pageBreakBefore w:val="0"/>
              <w:widowControl/>
              <w:kinsoku/>
              <w:wordWrap/>
              <w:overflowPunct/>
              <w:topLinePunct w:val="0"/>
              <w:autoSpaceDE/>
              <w:autoSpaceDN/>
              <w:bidi w:val="0"/>
              <w:adjustRightInd/>
              <w:snapToGrid/>
              <w:spacing w:line="240" w:lineRule="exact"/>
              <w:rPr>
                <w:rFonts w:hint="default" w:ascii="微软雅黑" w:hAnsi="微软雅黑" w:eastAsia="微软雅黑" w:cs="微软雅黑"/>
                <w:i w:val="0"/>
                <w:iCs w:val="0"/>
                <w:color w:val="000000"/>
                <w:sz w:val="16"/>
                <w:szCs w:val="16"/>
                <w:u w:val="none"/>
              </w:rPr>
            </w:pPr>
          </w:p>
        </w:tc>
      </w:tr>
      <w:tr w14:paraId="07CA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68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59E95DC">
            <w:pPr>
              <w:keepNext w:val="0"/>
              <w:keepLines w:val="0"/>
              <w:pageBreakBefore w:val="0"/>
              <w:widowControl/>
              <w:kinsoku/>
              <w:wordWrap/>
              <w:overflowPunct/>
              <w:topLinePunct w:val="0"/>
              <w:autoSpaceDE/>
              <w:autoSpaceDN/>
              <w:bidi w:val="0"/>
              <w:adjustRightInd/>
              <w:snapToGrid/>
              <w:spacing w:line="240" w:lineRule="exact"/>
              <w:rPr>
                <w:rFonts w:hint="default" w:ascii="微软雅黑" w:hAnsi="微软雅黑" w:eastAsia="微软雅黑" w:cs="微软雅黑"/>
                <w:i w:val="0"/>
                <w:iCs w:val="0"/>
                <w:color w:val="000000"/>
                <w:sz w:val="16"/>
                <w:szCs w:val="16"/>
                <w:u w:val="none"/>
              </w:rPr>
            </w:pPr>
          </w:p>
        </w:tc>
      </w:tr>
      <w:tr w14:paraId="52587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C07E2B">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项目负责人：刘阳</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15FD37E">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665C8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68347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1855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A43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84D3A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51080024R000010824175-事业人员基础绩效奖</w:t>
            </w:r>
          </w:p>
        </w:tc>
      </w:tr>
      <w:tr w14:paraId="3F678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681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973D1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5836A1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A92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385B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8E6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C67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A893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886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6209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90DF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E511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4329E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严格执行相关政策，保障事业人员基础绩效奖及时、足额发放，预算编制科学合理，减少结余资金。</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EC0B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事业人员基础性绩效按规定足额发放到位，预算执行率100%。</w:t>
            </w:r>
          </w:p>
        </w:tc>
      </w:tr>
      <w:tr w14:paraId="4220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A334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29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spacing w:val="-11"/>
                <w:kern w:val="0"/>
                <w:sz w:val="18"/>
                <w:szCs w:val="18"/>
                <w:u w:val="none"/>
                <w:lang w:val="en-US" w:eastAsia="zh-CN" w:bidi="ar"/>
              </w:rPr>
              <w:t>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87F53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严格执行相关政策，及时、足额发放事业人员基础绩效奖，确保发放覆盖率、足额保障率均达到100%。</w:t>
            </w:r>
          </w:p>
        </w:tc>
      </w:tr>
      <w:tr w14:paraId="0C03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F79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DF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E0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C3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12C8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7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3D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9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E7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051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AD2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1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270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47.55</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8B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47.55</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71E5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2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D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54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B50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EA67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F0C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A9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9A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47.55</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E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47.55</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96358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A5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DB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2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1C0EE">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513E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54F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9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59E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F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F28A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DB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8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63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F361B">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2BFB2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83B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7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A0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9E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3AB7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8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1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9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05E01">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564A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923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36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17435">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1128">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0B79E5A">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B645">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2D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B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4560E">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5EF57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559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56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3C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DC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86F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E19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F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w:t>
            </w:r>
          </w:p>
          <w:p w14:paraId="78EB2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1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74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C9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FA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F5EF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D10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5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A5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1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CF3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5037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8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0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A3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2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BCEA">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68E31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116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B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BB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3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F2B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CCA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1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80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F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C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DA09">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14B6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AA30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4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2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4F3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1402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74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1F7E0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项目自评总分100分，事业人员基础性绩效按规定足额发放到位，年终无结余，预算执行率100%。</w:t>
            </w:r>
          </w:p>
        </w:tc>
      </w:tr>
      <w:tr w14:paraId="2D2E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47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7D307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无</w:t>
            </w:r>
          </w:p>
        </w:tc>
      </w:tr>
      <w:tr w14:paraId="6488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3B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3376A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无</w:t>
            </w:r>
          </w:p>
        </w:tc>
      </w:tr>
      <w:tr w14:paraId="62CC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E6DE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项目负责人：陈婷婷</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C1540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7FEB0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FA1EB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0AC0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DCD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4DED7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51080024R000010824550-公务员基础绩效奖</w:t>
            </w:r>
          </w:p>
        </w:tc>
      </w:tr>
      <w:tr w14:paraId="48112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B83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6621E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6F589C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18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2BDA0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4B7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288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9B71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53A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3B35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63C0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4F34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4DBA20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严格执行相关政策，保障公务员基础绩效奖及时、足额发放，预算编制科学合理，减少结余资金。</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2D8D5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公务员基础性绩效奖励金按要求足额发放。预算执行率100%，年终无结余。</w:t>
            </w:r>
          </w:p>
        </w:tc>
      </w:tr>
      <w:tr w14:paraId="41FB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E03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14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spacing w:val="-11"/>
                <w:kern w:val="0"/>
                <w:sz w:val="18"/>
                <w:szCs w:val="18"/>
                <w:u w:val="none"/>
                <w:lang w:val="en-US" w:eastAsia="zh-CN" w:bidi="ar"/>
              </w:rPr>
              <w:t>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9C684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严格执行相关政策，保障公务员基础绩效奖及时、足额发放，预算编制科学合理，发放覆盖率、足额保障率为100%。</w:t>
            </w:r>
          </w:p>
        </w:tc>
      </w:tr>
      <w:tr w14:paraId="4FF9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55B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E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5A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9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3B3F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91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CB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388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F0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E1F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C31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0B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59C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102.93</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F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102.93</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C5A9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80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C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9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932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084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5AD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2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DB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102.93</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21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102.93</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12DB5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1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79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D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94E55">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1B1B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2F9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F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576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3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5F57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DB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3A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3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540AB">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0E13E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276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2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762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0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B3180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E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A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25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4B8E4">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0DD9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597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9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6E57F">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C4F4">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5EA3584">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FB6E">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AC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F7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6A787">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1818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A3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74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77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AE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4AC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B34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DB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w:t>
            </w:r>
          </w:p>
          <w:p w14:paraId="5F2735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A3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AE4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271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A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8D5A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B34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B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18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5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7AA2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40C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6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B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89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AC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0344">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342E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85B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4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6D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A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BD47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032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B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8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8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5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A474">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5669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318A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29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8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ACA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BDB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C89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215EB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项目自评总分100分，公务员基础性绩效奖励金按要求足额发放，年终无结余，预算执行率100%</w:t>
            </w:r>
          </w:p>
        </w:tc>
      </w:tr>
      <w:tr w14:paraId="7060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DB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A84ED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77279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038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0EEED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7DDA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A040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项目负责人：陈婷婷</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81D37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29031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E9E81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3146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ED8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4DC65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51080024R000010825320-退休人员生活补（助）贴</w:t>
            </w:r>
          </w:p>
        </w:tc>
      </w:tr>
      <w:tr w14:paraId="799E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39B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12299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236F4D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6D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6BF5B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FB0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9FF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964A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C871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6022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3E88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B986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9AD62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严格执行相关政策，保障退休人员生活补（助）贴及时、足额发放，预算编制科学合理，减少结余资金。</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1D89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退休人员生活补助足额及时到位，执行率100%，年终无结余。</w:t>
            </w:r>
          </w:p>
        </w:tc>
      </w:tr>
      <w:tr w14:paraId="1D94A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6B59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C2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spacing w:val="-11"/>
                <w:kern w:val="0"/>
                <w:sz w:val="18"/>
                <w:szCs w:val="18"/>
                <w:u w:val="none"/>
                <w:lang w:val="en-US" w:eastAsia="zh-CN" w:bidi="ar"/>
              </w:rPr>
              <w:t>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134CB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严格执行相关政策标准，按月发放退休人员生活补（助）贴，确保足额、及时到位，预算编制科学合理，减少结余资金。</w:t>
            </w:r>
          </w:p>
        </w:tc>
      </w:tr>
      <w:tr w14:paraId="667D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65C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F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EB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1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D3F53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D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4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3B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C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0A7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9C6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F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4C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45.36</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5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45.36</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6EB6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6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2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B9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AD2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A18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A19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5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A94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45.36</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F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45.36</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B777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DE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F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7F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02DDC">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3ECB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EEF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5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5FA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12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9DDBF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0C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2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1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AC7C9">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1CA3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D51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2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4B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0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ACD7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7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0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5A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8E839">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0ECF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4DE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B0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5E45B">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CC73">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004C9DF">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2A04">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A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71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19AB2">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66E3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A2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B6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013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2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AA0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5E6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9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w:t>
            </w:r>
          </w:p>
          <w:p w14:paraId="6711A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2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D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2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B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4F8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D59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4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A3D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2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0C5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4CD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D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D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2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F0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784F">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60BB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3D2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1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C4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1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B67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9F14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6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4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F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6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14A1">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462E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23BC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7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B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B1B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131E8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B8B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EBDC9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项目自评总分100分，退休人员生活补助足额及时到位，预算执行率100%，年终无结余</w:t>
            </w:r>
          </w:p>
        </w:tc>
      </w:tr>
      <w:tr w14:paraId="2A28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7C7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0ED39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607E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F33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53DCB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488D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5503D8">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项目负责人：刘阳</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CACE345">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0155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EA95E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500B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3E9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16B77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51080024R000010825886-遗属生活补助</w:t>
            </w:r>
          </w:p>
        </w:tc>
      </w:tr>
      <w:tr w14:paraId="08FA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C33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901FF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4BD245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824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03BC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8A4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E24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4678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67E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43068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0337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C146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BF76D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严格执行相关政策，保障遗属生活补助及时、足额发放，预算编制科学合理，减少结余资金。</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1F7D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遗嘱生活补助年终一次性补助到位，预算执行率100%，年终无结余。</w:t>
            </w:r>
          </w:p>
        </w:tc>
      </w:tr>
      <w:tr w14:paraId="7F48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21E9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C4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spacing w:val="-11"/>
                <w:kern w:val="0"/>
                <w:sz w:val="18"/>
                <w:szCs w:val="18"/>
                <w:u w:val="none"/>
                <w:lang w:val="en-US" w:eastAsia="zh-CN" w:bidi="ar"/>
              </w:rPr>
              <w:t>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541BB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严格执行相关政策，遗嘱生活补助年终一次性补助到位，无结余资金。</w:t>
            </w:r>
          </w:p>
        </w:tc>
      </w:tr>
      <w:tr w14:paraId="6BB7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7C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D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8F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2B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081B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86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45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1A5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E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36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3E1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D7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FD8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6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A55DC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8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C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2E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8B4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DAD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5EF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C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DF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B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8634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DF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A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B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AFE1E">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41922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E1C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4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76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C7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186F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D0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6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AA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A3E33">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14315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739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5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B4D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7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C491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35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02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7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1EB2F">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0ECB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231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8C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5452A">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1217">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2EACBBE">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6724">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2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2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3C7B5">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47C2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5D6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79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E0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3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96D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D3EC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11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w:t>
            </w:r>
          </w:p>
          <w:p w14:paraId="015148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B4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D9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C9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F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BE0A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2A8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E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BA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19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F22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E17F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AA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1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E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54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3A0F">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73E2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298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0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3A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F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51F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DD2A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72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F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B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5C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47D5">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13E7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7916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A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B8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1E9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A74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D3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73115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项目自评总分100分，预算执行率100%，年终无结余。</w:t>
            </w:r>
          </w:p>
        </w:tc>
      </w:tr>
      <w:tr w14:paraId="35FA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3D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D7ED4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7BEA6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29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13AD5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5EFBB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CDA0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项目负责人：刘阳</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125D0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276F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BA37F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6145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B20A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C214F1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51080024R000010828112-行政人员工资性支出</w:t>
            </w:r>
          </w:p>
        </w:tc>
      </w:tr>
      <w:tr w14:paraId="566A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B943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7A9D7E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0D82993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9AA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06810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5A11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33E8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91AEF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25D01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292D5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4BF20">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C257B">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A78AE0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159AC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足额发放人员工资性支出。预算执行率100%。年终无结余。</w:t>
            </w:r>
          </w:p>
        </w:tc>
      </w:tr>
      <w:tr w14:paraId="7B348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31F27">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6D9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spacing w:val="-11"/>
                <w:kern w:val="0"/>
                <w:sz w:val="18"/>
                <w:szCs w:val="18"/>
                <w:u w:val="none"/>
                <w:lang w:val="en-US" w:eastAsia="zh-CN" w:bidi="ar"/>
              </w:rPr>
              <w:t>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C606B7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严格执行相关政策，按月发放行政人员工资，保障行政人员工资性支出发放覆盖率、足额保障率达到100%。</w:t>
            </w:r>
          </w:p>
        </w:tc>
      </w:tr>
      <w:tr w14:paraId="0D10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DC3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BB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0DB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69B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CF8FF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FA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90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AD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45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A76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B6F3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736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699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226.58</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54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226.58</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5B3D98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226.11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6C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8D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BF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698A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B4C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FB9E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02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A74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226.58</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59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226.58</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A92672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226.11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EA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E4E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967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A900E">
            <w:pPr>
              <w:keepNext w:val="0"/>
              <w:keepLines w:val="0"/>
              <w:pageBreakBefore w:val="0"/>
              <w:widowControl/>
              <w:kinsoku/>
              <w:wordWrap/>
              <w:overflowPunct/>
              <w:topLinePunct w:val="0"/>
              <w:autoSpaceDE/>
              <w:autoSpaceDN/>
              <w:bidi w:val="0"/>
              <w:adjustRightInd/>
              <w:snapToGrid/>
              <w:spacing w:line="220" w:lineRule="exact"/>
              <w:rPr>
                <w:rFonts w:hint="default" w:ascii="黑体" w:hAnsi="黑体" w:eastAsia="黑体" w:cs="黑体"/>
                <w:i w:val="0"/>
                <w:iCs w:val="0"/>
                <w:color w:val="000000"/>
                <w:sz w:val="18"/>
                <w:szCs w:val="18"/>
                <w:u w:val="none"/>
              </w:rPr>
            </w:pPr>
          </w:p>
        </w:tc>
      </w:tr>
      <w:tr w14:paraId="7441F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5633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7D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142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64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B623B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36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1A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73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0FBFE">
            <w:pPr>
              <w:keepNext w:val="0"/>
              <w:keepLines w:val="0"/>
              <w:pageBreakBefore w:val="0"/>
              <w:widowControl/>
              <w:kinsoku/>
              <w:wordWrap/>
              <w:overflowPunct/>
              <w:topLinePunct w:val="0"/>
              <w:autoSpaceDE/>
              <w:autoSpaceDN/>
              <w:bidi w:val="0"/>
              <w:adjustRightInd/>
              <w:snapToGrid/>
              <w:spacing w:line="220" w:lineRule="exact"/>
              <w:rPr>
                <w:rFonts w:hint="default" w:ascii="黑体" w:hAnsi="黑体" w:eastAsia="黑体" w:cs="黑体"/>
                <w:i w:val="0"/>
                <w:iCs w:val="0"/>
                <w:color w:val="000000"/>
                <w:sz w:val="18"/>
                <w:szCs w:val="18"/>
                <w:u w:val="none"/>
              </w:rPr>
            </w:pPr>
          </w:p>
        </w:tc>
      </w:tr>
      <w:tr w14:paraId="50F7B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CD9F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69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FB4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003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1DEDE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E3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FD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41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64587">
            <w:pPr>
              <w:keepNext w:val="0"/>
              <w:keepLines w:val="0"/>
              <w:pageBreakBefore w:val="0"/>
              <w:widowControl/>
              <w:kinsoku/>
              <w:wordWrap/>
              <w:overflowPunct/>
              <w:topLinePunct w:val="0"/>
              <w:autoSpaceDE/>
              <w:autoSpaceDN/>
              <w:bidi w:val="0"/>
              <w:adjustRightInd/>
              <w:snapToGrid/>
              <w:spacing w:line="220" w:lineRule="exact"/>
              <w:rPr>
                <w:rFonts w:hint="default" w:ascii="黑体" w:hAnsi="黑体" w:eastAsia="黑体" w:cs="黑体"/>
                <w:i w:val="0"/>
                <w:iCs w:val="0"/>
                <w:color w:val="000000"/>
                <w:sz w:val="18"/>
                <w:szCs w:val="18"/>
                <w:u w:val="none"/>
              </w:rPr>
            </w:pPr>
          </w:p>
        </w:tc>
      </w:tr>
      <w:tr w14:paraId="1F7E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42E4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37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40697">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0A1C">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B79B026">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4F2A">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FB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16A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85403">
            <w:pPr>
              <w:keepNext w:val="0"/>
              <w:keepLines w:val="0"/>
              <w:pageBreakBefore w:val="0"/>
              <w:widowControl/>
              <w:kinsoku/>
              <w:wordWrap/>
              <w:overflowPunct/>
              <w:topLinePunct w:val="0"/>
              <w:autoSpaceDE/>
              <w:autoSpaceDN/>
              <w:bidi w:val="0"/>
              <w:adjustRightInd/>
              <w:snapToGrid/>
              <w:spacing w:line="220" w:lineRule="exact"/>
              <w:rPr>
                <w:rFonts w:hint="default" w:ascii="黑体" w:hAnsi="黑体" w:eastAsia="黑体" w:cs="黑体"/>
                <w:i w:val="0"/>
                <w:iCs w:val="0"/>
                <w:color w:val="000000"/>
                <w:sz w:val="18"/>
                <w:szCs w:val="18"/>
                <w:u w:val="none"/>
              </w:rPr>
            </w:pPr>
          </w:p>
        </w:tc>
      </w:tr>
      <w:tr w14:paraId="162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FA2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98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6FA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5B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CA42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09A0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30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w:t>
            </w:r>
          </w:p>
          <w:p w14:paraId="594603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9C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52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9B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20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2E0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BCC9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91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A87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F9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2FC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CA46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F9D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59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0C1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98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E99D">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r>
      <w:tr w14:paraId="255C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5258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76F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BF5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2B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E960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3817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22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E4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3AD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98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88BC">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r>
      <w:tr w14:paraId="1936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36846C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0A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CB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E27D">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4451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04A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B78A6C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项目自评总分100分，足额发放人员工资性支出，年终无结余，预算执行率100%。</w:t>
            </w:r>
          </w:p>
        </w:tc>
      </w:tr>
      <w:tr w14:paraId="604F7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38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1869B0D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064B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64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6CD941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583C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75AA3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项目负责人：陈婷婷</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309F68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3F1A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6432FA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7C567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77A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EC9DC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51080024T000010665316-综合统计事务服务</w:t>
            </w:r>
          </w:p>
        </w:tc>
      </w:tr>
      <w:tr w14:paraId="1AF75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A03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A32E2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24AB6D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A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4D647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4C2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16E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51CD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113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216F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0E91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1492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CAB557E">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常态化开展统计调查。认真落实2023年统计年报和2024年定期统计报表制度，有序高效开展GDP核算、工业、农业、服务业等各类常规统计调查和抽样调查。二是扎实做好"五经普"各项工作。2024年普查主要工作任务：普查登记，普查数据检查、审核与验收，普查数据质量抽查，普查数据汇总与评估，开展普查总结等。确保五经普核算结果实现了保总量、稳位次、优结构、防风险的目标。三是深化统计优质服务。紧紧围绕全市中心工作和发展大局，强化经济运行监测预警，围绕党政领导和社会公众的需求，不断丰富统计产品，不断提升统计服务水平。四是依法统计依法治统。深入开展统计督察整改，扎实推进统计普法宣传，强化统计核查核实，不断提高政府统计公信力。五是不断夯实基层基础。持续提升基层统计能力，加强统计干部队伍建设，切实强化基层统计保障。</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C8D7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年终完成了各项统计事务相关工作，预算执行率100%，年终无结余。</w:t>
            </w:r>
          </w:p>
        </w:tc>
      </w:tr>
      <w:tr w14:paraId="6D3FE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52CD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88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8E80F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市委市政府和国家、省统计局的工作部署，顺利完成了全年各项统计事务相关工作，一是开展统计普法，坚持依法管统治统，切实防范和惩治统计造假、弄虚作假。二是对国民经济、社会发展等进行统计分析，定期发布全市经济社会发展情况的统计信息，向市委市政府有关部门提供统计咨询建议，向社会公众提供统计信息服务等。</w:t>
            </w:r>
          </w:p>
        </w:tc>
      </w:tr>
      <w:tr w14:paraId="24A85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D46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A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43B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D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F3154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6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C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5F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5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7C8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D25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5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1A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D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17B23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32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4F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B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599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BBD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1CB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F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C13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C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FD4A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2F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A1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8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DE699">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1BD9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5B5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A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B82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C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2E654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F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C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7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BB600">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50D7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F33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8C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EEE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C4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DA81F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F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E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4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7EA85">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69D1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BA0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B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D81C8">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0449">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7D5EFF7">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67D0">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1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1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BF35">
            <w:pPr>
              <w:keepNext w:val="0"/>
              <w:keepLines w:val="0"/>
              <w:pageBreakBefore w:val="0"/>
              <w:widowControl/>
              <w:kinsoku/>
              <w:wordWrap/>
              <w:overflowPunct/>
              <w:topLinePunct w:val="0"/>
              <w:autoSpaceDE/>
              <w:autoSpaceDN/>
              <w:bidi w:val="0"/>
              <w:adjustRightInd/>
              <w:snapToGrid/>
              <w:spacing w:line="240" w:lineRule="exact"/>
              <w:rPr>
                <w:rFonts w:hint="default" w:ascii="黑体" w:hAnsi="黑体" w:eastAsia="黑体" w:cs="黑体"/>
                <w:i w:val="0"/>
                <w:iCs w:val="0"/>
                <w:color w:val="000000"/>
                <w:sz w:val="18"/>
                <w:szCs w:val="18"/>
                <w:u w:val="none"/>
              </w:rPr>
            </w:pPr>
          </w:p>
        </w:tc>
      </w:tr>
      <w:tr w14:paraId="27C53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96A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45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C96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B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CA5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FF5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B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w:t>
            </w:r>
          </w:p>
          <w:p w14:paraId="5CAD3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4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B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6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57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F0C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42A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A6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11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97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发布统计数据新闻发布会</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266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B841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7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C3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E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2A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B896">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6085C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55B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0A8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10F2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C3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开展统计普法宣传</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AB4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997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8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F6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1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06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82EA">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06CE7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847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923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789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09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发布全市统计公报次数</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9697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B044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5D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2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F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D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F0CD">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09589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C28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4DE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EC6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57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看广元-统计微平台宣传教育工作</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FA3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54C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C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F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C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BE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AE00">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1254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AC2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8C8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AA0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3B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组织实施全市地区生产总值核算（项）</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C0B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0D1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2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E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0F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7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5EC8">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42A5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494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1A4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040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79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11"/>
                <w:kern w:val="0"/>
                <w:sz w:val="18"/>
                <w:szCs w:val="18"/>
                <w:u w:val="none"/>
                <w:lang w:val="en-US" w:eastAsia="zh-CN" w:bidi="ar"/>
              </w:rPr>
              <w:t>征订《四川省情》《中国统计</w:t>
            </w:r>
            <w:r>
              <w:rPr>
                <w:rFonts w:ascii="宋体" w:hAnsi="宋体" w:eastAsia="宋体" w:cs="宋体"/>
                <w:i w:val="0"/>
                <w:iCs w:val="0"/>
                <w:color w:val="000000"/>
                <w:kern w:val="0"/>
                <w:sz w:val="18"/>
                <w:szCs w:val="18"/>
                <w:u w:val="none"/>
                <w:lang w:val="en-US" w:eastAsia="zh-CN" w:bidi="ar"/>
              </w:rPr>
              <w:t>》</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C6D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AB66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9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A7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B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9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9CA6">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63CC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69C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D3D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DB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42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主要数据产品、分析研究报告质量达标率</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58A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0B17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75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62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B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F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0B55">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7FF6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8FA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A46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E1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8C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11"/>
                <w:kern w:val="0"/>
                <w:sz w:val="18"/>
                <w:szCs w:val="18"/>
                <w:u w:val="none"/>
                <w:lang w:val="en-US" w:eastAsia="zh-CN" w:bidi="ar"/>
              </w:rPr>
              <w:t>数据产品及分析研究按期完成率</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D2E7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BCD5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2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0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51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BB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C29F">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7671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F6F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0F7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A9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87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分析研究产品得到应用比率</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34C2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81B1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7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3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B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B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64AB">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77F1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8FF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774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F2E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29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影响年限</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4886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D82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5B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88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3E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9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EF45">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03CD9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A10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9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2F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83E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统计数据分析研究获得联网 企业、调查住户和数据用户认可度</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785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B31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6F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1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9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9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0731">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3654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ADF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A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366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12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开展统计普法宣传、数据发布成本</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998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7E7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17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8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1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4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712B">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16"/>
                <w:szCs w:val="16"/>
                <w:u w:val="none"/>
              </w:rPr>
            </w:pPr>
          </w:p>
        </w:tc>
      </w:tr>
      <w:tr w14:paraId="01C9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B394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54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04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FEC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EDA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391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1B7D38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项目自评总分100分，年终完成了各项统计事务相关工作，不存在截留、挪用财政资金情况，预算执行率100%，年终无结余。</w:t>
            </w:r>
          </w:p>
        </w:tc>
      </w:tr>
      <w:tr w14:paraId="0802E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6B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75E4D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68C6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A1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4930A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0155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ED01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项目负责人：张林辉</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314D2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308AE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39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DEA48E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2B90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459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F8894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51080024Y000010826991-公用经费1（福利费、工会经费）</w:t>
            </w:r>
          </w:p>
        </w:tc>
      </w:tr>
      <w:tr w14:paraId="5C860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A303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463D13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67DE891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82F0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208A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B4CE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8055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221AB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E5A85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40B5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C5AC2">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F4A36">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26640C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F338C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足额执行到位，年终无结余。</w:t>
            </w:r>
          </w:p>
        </w:tc>
      </w:tr>
      <w:tr w14:paraId="3560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38E53">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E76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spacing w:val="-11"/>
                <w:kern w:val="0"/>
                <w:sz w:val="18"/>
                <w:szCs w:val="18"/>
                <w:u w:val="none"/>
                <w:lang w:val="en-US" w:eastAsia="zh-CN" w:bidi="ar"/>
              </w:rPr>
              <w:t>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DE599C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r>
      <w:tr w14:paraId="3984A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7C2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00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B1A4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C3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FE58B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8A9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4E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83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4D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D5A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B43E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25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C0C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954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3C99D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98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A8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E3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760A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CA7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148A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1C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1F6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9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297B2A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D3E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74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E3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028DD">
            <w:pPr>
              <w:keepNext w:val="0"/>
              <w:keepLines w:val="0"/>
              <w:pageBreakBefore w:val="0"/>
              <w:widowControl/>
              <w:kinsoku/>
              <w:wordWrap/>
              <w:overflowPunct/>
              <w:topLinePunct w:val="0"/>
              <w:autoSpaceDE/>
              <w:autoSpaceDN/>
              <w:bidi w:val="0"/>
              <w:adjustRightInd/>
              <w:snapToGrid/>
              <w:spacing w:line="220" w:lineRule="exact"/>
              <w:rPr>
                <w:rFonts w:hint="default" w:ascii="黑体" w:hAnsi="黑体" w:eastAsia="黑体" w:cs="黑体"/>
                <w:i w:val="0"/>
                <w:iCs w:val="0"/>
                <w:color w:val="000000"/>
                <w:sz w:val="18"/>
                <w:szCs w:val="18"/>
                <w:u w:val="none"/>
              </w:rPr>
            </w:pPr>
          </w:p>
        </w:tc>
      </w:tr>
      <w:tr w14:paraId="4628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276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E3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C5DB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7E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99EAA4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22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17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15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B3CA3">
            <w:pPr>
              <w:keepNext w:val="0"/>
              <w:keepLines w:val="0"/>
              <w:pageBreakBefore w:val="0"/>
              <w:widowControl/>
              <w:kinsoku/>
              <w:wordWrap/>
              <w:overflowPunct/>
              <w:topLinePunct w:val="0"/>
              <w:autoSpaceDE/>
              <w:autoSpaceDN/>
              <w:bidi w:val="0"/>
              <w:adjustRightInd/>
              <w:snapToGrid/>
              <w:spacing w:line="220" w:lineRule="exact"/>
              <w:rPr>
                <w:rFonts w:hint="default" w:ascii="黑体" w:hAnsi="黑体" w:eastAsia="黑体" w:cs="黑体"/>
                <w:i w:val="0"/>
                <w:iCs w:val="0"/>
                <w:color w:val="000000"/>
                <w:sz w:val="18"/>
                <w:szCs w:val="18"/>
                <w:u w:val="none"/>
              </w:rPr>
            </w:pPr>
          </w:p>
        </w:tc>
      </w:tr>
      <w:tr w14:paraId="56D9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9E00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DE1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6EA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D52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7C626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F9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38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FD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B4D00">
            <w:pPr>
              <w:keepNext w:val="0"/>
              <w:keepLines w:val="0"/>
              <w:pageBreakBefore w:val="0"/>
              <w:widowControl/>
              <w:kinsoku/>
              <w:wordWrap/>
              <w:overflowPunct/>
              <w:topLinePunct w:val="0"/>
              <w:autoSpaceDE/>
              <w:autoSpaceDN/>
              <w:bidi w:val="0"/>
              <w:adjustRightInd/>
              <w:snapToGrid/>
              <w:spacing w:line="220" w:lineRule="exact"/>
              <w:rPr>
                <w:rFonts w:hint="default" w:ascii="黑体" w:hAnsi="黑体" w:eastAsia="黑体" w:cs="黑体"/>
                <w:i w:val="0"/>
                <w:iCs w:val="0"/>
                <w:color w:val="000000"/>
                <w:sz w:val="18"/>
                <w:szCs w:val="18"/>
                <w:u w:val="none"/>
              </w:rPr>
            </w:pPr>
          </w:p>
        </w:tc>
      </w:tr>
      <w:tr w14:paraId="6425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4014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61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B2F84">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6F01">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C359AA9">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0A4A">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6B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77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E0E1A">
            <w:pPr>
              <w:keepNext w:val="0"/>
              <w:keepLines w:val="0"/>
              <w:pageBreakBefore w:val="0"/>
              <w:widowControl/>
              <w:kinsoku/>
              <w:wordWrap/>
              <w:overflowPunct/>
              <w:topLinePunct w:val="0"/>
              <w:autoSpaceDE/>
              <w:autoSpaceDN/>
              <w:bidi w:val="0"/>
              <w:adjustRightInd/>
              <w:snapToGrid/>
              <w:spacing w:line="220" w:lineRule="exact"/>
              <w:rPr>
                <w:rFonts w:hint="default" w:ascii="黑体" w:hAnsi="黑体" w:eastAsia="黑体" w:cs="黑体"/>
                <w:i w:val="0"/>
                <w:iCs w:val="0"/>
                <w:color w:val="000000"/>
                <w:sz w:val="18"/>
                <w:szCs w:val="18"/>
                <w:u w:val="none"/>
              </w:rPr>
            </w:pPr>
          </w:p>
        </w:tc>
      </w:tr>
      <w:tr w14:paraId="4164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B6C8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DEA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A28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3F1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1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2E3CF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A4E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28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 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FCC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6E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5D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23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0F64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3FBA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893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FD1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DD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1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DC52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61D1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AA0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C2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88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A8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BBC0">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r>
      <w:tr w14:paraId="6AC7A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53C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CBE5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B32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C50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11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BF986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C69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F2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06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43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2E3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EE7D">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r>
      <w:tr w14:paraId="6E79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B2EB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C7FB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E359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91D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11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E216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DDD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E4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38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85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19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EF25">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r>
      <w:tr w14:paraId="79CC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D8F0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B5EC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97A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E88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1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E707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6F9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6F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6E8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53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9D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FA28">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r>
      <w:tr w14:paraId="57414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E5E4B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59F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E6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527C">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01A0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72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199CE64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项目自评得分100分，年终无结余，预算执行率100%。</w:t>
            </w:r>
          </w:p>
        </w:tc>
      </w:tr>
      <w:tr w14:paraId="4627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1C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077522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1AADE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E9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F49A73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无</w:t>
            </w:r>
          </w:p>
        </w:tc>
      </w:tr>
      <w:tr w14:paraId="0FBF8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7307"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2383A1C5">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项目负责人：陈婷婷</w:t>
            </w:r>
          </w:p>
        </w:tc>
        <w:tc>
          <w:tcPr>
            <w:tcW w:w="6613" w:type="dxa"/>
            <w:gridSpan w:val="17"/>
            <w:tcBorders>
              <w:top w:val="single" w:color="000000" w:sz="4" w:space="0"/>
              <w:left w:val="single" w:color="000000" w:sz="4" w:space="0"/>
              <w:bottom w:val="single" w:color="auto" w:sz="4" w:space="0"/>
              <w:right w:val="single" w:color="000000" w:sz="4" w:space="0"/>
            </w:tcBorders>
            <w:shd w:val="clear" w:color="auto" w:fill="auto"/>
            <w:vAlign w:val="center"/>
          </w:tcPr>
          <w:p w14:paraId="1B1DD859">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7AF48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3920" w:type="dxa"/>
            <w:gridSpan w:val="23"/>
            <w:tcBorders>
              <w:top w:val="single" w:color="auto" w:sz="4" w:space="0"/>
              <w:left w:val="nil"/>
              <w:bottom w:val="nil"/>
              <w:right w:val="nil"/>
            </w:tcBorders>
            <w:shd w:val="clear" w:color="auto" w:fill="auto"/>
            <w:vAlign w:val="center"/>
          </w:tcPr>
          <w:p w14:paraId="03C4B65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tc>
      </w:tr>
      <w:tr w14:paraId="5AE8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3920" w:type="dxa"/>
            <w:gridSpan w:val="23"/>
            <w:tcBorders>
              <w:top w:val="nil"/>
              <w:left w:val="nil"/>
              <w:bottom w:val="nil"/>
              <w:right w:val="nil"/>
            </w:tcBorders>
            <w:shd w:val="clear" w:color="auto" w:fill="auto"/>
            <w:vAlign w:val="center"/>
          </w:tcPr>
          <w:p w14:paraId="357FF56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tc>
      </w:tr>
      <w:tr w14:paraId="135E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3920" w:type="dxa"/>
            <w:gridSpan w:val="23"/>
            <w:tcBorders>
              <w:top w:val="nil"/>
              <w:left w:val="nil"/>
              <w:bottom w:val="nil"/>
              <w:right w:val="nil"/>
            </w:tcBorders>
            <w:shd w:val="clear" w:color="auto" w:fill="auto"/>
            <w:vAlign w:val="center"/>
          </w:tcPr>
          <w:p w14:paraId="37B1D1D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tc>
      </w:tr>
      <w:tr w14:paraId="4335B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3920" w:type="dxa"/>
            <w:gridSpan w:val="23"/>
            <w:tcBorders>
              <w:top w:val="nil"/>
              <w:left w:val="nil"/>
              <w:bottom w:val="nil"/>
              <w:right w:val="nil"/>
            </w:tcBorders>
            <w:shd w:val="clear" w:color="auto" w:fill="auto"/>
            <w:vAlign w:val="center"/>
          </w:tcPr>
          <w:p w14:paraId="3C9866D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tc>
      </w:tr>
      <w:tr w14:paraId="372B6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3920" w:type="dxa"/>
            <w:gridSpan w:val="23"/>
            <w:tcBorders>
              <w:top w:val="nil"/>
              <w:left w:val="nil"/>
              <w:bottom w:val="nil"/>
              <w:right w:val="nil"/>
            </w:tcBorders>
            <w:shd w:val="clear" w:color="auto" w:fill="auto"/>
            <w:vAlign w:val="center"/>
          </w:tcPr>
          <w:p w14:paraId="4D15FAB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tc>
      </w:tr>
      <w:tr w14:paraId="2B31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3920" w:type="dxa"/>
            <w:gridSpan w:val="23"/>
            <w:tcBorders>
              <w:top w:val="nil"/>
              <w:left w:val="nil"/>
              <w:bottom w:val="nil"/>
              <w:right w:val="nil"/>
            </w:tcBorders>
            <w:shd w:val="clear" w:color="auto" w:fill="auto"/>
            <w:vAlign w:val="center"/>
          </w:tcPr>
          <w:p w14:paraId="4E686D5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tc>
      </w:tr>
      <w:tr w14:paraId="66A8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3920" w:type="dxa"/>
            <w:gridSpan w:val="23"/>
            <w:tcBorders>
              <w:top w:val="nil"/>
              <w:left w:val="nil"/>
              <w:bottom w:val="nil"/>
              <w:right w:val="nil"/>
            </w:tcBorders>
            <w:shd w:val="clear" w:color="auto" w:fill="auto"/>
            <w:vAlign w:val="center"/>
          </w:tcPr>
          <w:p w14:paraId="05F5587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tc>
      </w:tr>
      <w:tr w14:paraId="4C13C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3920" w:type="dxa"/>
            <w:gridSpan w:val="23"/>
            <w:tcBorders>
              <w:top w:val="nil"/>
              <w:left w:val="nil"/>
              <w:bottom w:val="nil"/>
              <w:right w:val="nil"/>
            </w:tcBorders>
            <w:shd w:val="clear" w:color="auto" w:fill="auto"/>
            <w:vAlign w:val="center"/>
          </w:tcPr>
          <w:p w14:paraId="4340870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tc>
      </w:tr>
      <w:tr w14:paraId="01DE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13920" w:type="dxa"/>
            <w:gridSpan w:val="23"/>
            <w:tcBorders>
              <w:top w:val="nil"/>
              <w:left w:val="nil"/>
              <w:bottom w:val="single" w:color="auto" w:sz="4" w:space="0"/>
              <w:right w:val="nil"/>
            </w:tcBorders>
            <w:shd w:val="clear" w:color="auto" w:fill="auto"/>
            <w:vAlign w:val="center"/>
          </w:tcPr>
          <w:p w14:paraId="73741164">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tc>
      </w:tr>
      <w:tr w14:paraId="38E1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3920" w:type="dxa"/>
            <w:gridSpan w:val="23"/>
            <w:tcBorders>
              <w:top w:val="single" w:color="auto" w:sz="4" w:space="0"/>
              <w:left w:val="single" w:color="000000" w:sz="4" w:space="0"/>
              <w:bottom w:val="single" w:color="000000" w:sz="4" w:space="0"/>
              <w:right w:val="single" w:color="000000" w:sz="4" w:space="0"/>
            </w:tcBorders>
            <w:shd w:val="clear" w:color="auto" w:fill="auto"/>
            <w:vAlign w:val="center"/>
          </w:tcPr>
          <w:p w14:paraId="00C7909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3506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2871" w:type="dxa"/>
            <w:gridSpan w:val="2"/>
            <w:tcBorders>
              <w:top w:val="nil"/>
              <w:left w:val="single" w:color="000000" w:sz="4" w:space="0"/>
              <w:bottom w:val="single" w:color="000000" w:sz="4" w:space="0"/>
              <w:right w:val="single" w:color="000000" w:sz="4" w:space="0"/>
            </w:tcBorders>
            <w:shd w:val="clear" w:color="auto" w:fill="auto"/>
            <w:vAlign w:val="center"/>
          </w:tcPr>
          <w:p w14:paraId="275B2EA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nil"/>
              <w:left w:val="single" w:color="000000" w:sz="4" w:space="0"/>
              <w:bottom w:val="single" w:color="000000" w:sz="4" w:space="0"/>
              <w:right w:val="single" w:color="000000" w:sz="4" w:space="0"/>
            </w:tcBorders>
            <w:shd w:val="clear" w:color="auto" w:fill="auto"/>
            <w:vAlign w:val="center"/>
          </w:tcPr>
          <w:p w14:paraId="5C269AE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51080024Y000010829138-定额公用经费（行政）</w:t>
            </w:r>
          </w:p>
        </w:tc>
      </w:tr>
      <w:tr w14:paraId="3625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2FB3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nil"/>
              <w:left w:val="single" w:color="000000" w:sz="4" w:space="0"/>
              <w:bottom w:val="single" w:color="000000" w:sz="4" w:space="0"/>
              <w:right w:val="single" w:color="000000" w:sz="4" w:space="0"/>
            </w:tcBorders>
            <w:shd w:val="clear" w:color="auto" w:fill="auto"/>
            <w:vAlign w:val="center"/>
          </w:tcPr>
          <w:p w14:paraId="14C6D1B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1375929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nil"/>
              <w:left w:val="single" w:color="000000" w:sz="4" w:space="0"/>
              <w:bottom w:val="single" w:color="000000" w:sz="4" w:space="0"/>
              <w:right w:val="single" w:color="000000" w:sz="4" w:space="0"/>
            </w:tcBorders>
            <w:shd w:val="clear" w:color="auto" w:fill="auto"/>
            <w:vAlign w:val="center"/>
          </w:tcPr>
          <w:p w14:paraId="7E74AA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75B3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685E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A376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68EF9E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4A4F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7B05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6B531">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5AAE3">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82CF6C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26AFE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足额保障公用经费，预算执行率100%，年终无结余。</w:t>
            </w:r>
          </w:p>
        </w:tc>
      </w:tr>
      <w:tr w14:paraId="6A66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AA8DA">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A48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spacing w:val="-11"/>
                <w:kern w:val="0"/>
                <w:sz w:val="18"/>
                <w:szCs w:val="18"/>
                <w:u w:val="none"/>
                <w:lang w:val="en-US" w:eastAsia="zh-CN" w:bidi="ar"/>
              </w:rPr>
              <w:t>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A43C8D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r>
      <w:tr w14:paraId="2ECF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8CF7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F6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B4E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214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E5B905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8B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08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C5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0B9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C7F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A420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63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5CF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0D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93C8D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4EA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E6A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FB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5A45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A98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7F8B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D2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297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DF4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77917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42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4F7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68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ADE18">
            <w:pPr>
              <w:keepNext w:val="0"/>
              <w:keepLines w:val="0"/>
              <w:pageBreakBefore w:val="0"/>
              <w:widowControl/>
              <w:kinsoku/>
              <w:wordWrap/>
              <w:overflowPunct/>
              <w:topLinePunct w:val="0"/>
              <w:autoSpaceDE/>
              <w:autoSpaceDN/>
              <w:bidi w:val="0"/>
              <w:adjustRightInd/>
              <w:snapToGrid/>
              <w:spacing w:line="220" w:lineRule="exact"/>
              <w:rPr>
                <w:rFonts w:hint="default" w:ascii="黑体" w:hAnsi="黑体" w:eastAsia="黑体" w:cs="黑体"/>
                <w:i w:val="0"/>
                <w:iCs w:val="0"/>
                <w:color w:val="000000"/>
                <w:sz w:val="18"/>
                <w:szCs w:val="18"/>
                <w:u w:val="none"/>
              </w:rPr>
            </w:pPr>
          </w:p>
        </w:tc>
      </w:tr>
      <w:tr w14:paraId="0F1EC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C842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3C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F03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C6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83298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9F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30E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19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BF3FE">
            <w:pPr>
              <w:keepNext w:val="0"/>
              <w:keepLines w:val="0"/>
              <w:pageBreakBefore w:val="0"/>
              <w:widowControl/>
              <w:kinsoku/>
              <w:wordWrap/>
              <w:overflowPunct/>
              <w:topLinePunct w:val="0"/>
              <w:autoSpaceDE/>
              <w:autoSpaceDN/>
              <w:bidi w:val="0"/>
              <w:adjustRightInd/>
              <w:snapToGrid/>
              <w:spacing w:line="220" w:lineRule="exact"/>
              <w:rPr>
                <w:rFonts w:hint="default" w:ascii="黑体" w:hAnsi="黑体" w:eastAsia="黑体" w:cs="黑体"/>
                <w:i w:val="0"/>
                <w:iCs w:val="0"/>
                <w:color w:val="000000"/>
                <w:sz w:val="18"/>
                <w:szCs w:val="18"/>
                <w:u w:val="none"/>
              </w:rPr>
            </w:pPr>
          </w:p>
        </w:tc>
      </w:tr>
      <w:tr w14:paraId="731E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7F2B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57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C10B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8D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5C6C8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93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4C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B3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5EA63">
            <w:pPr>
              <w:keepNext w:val="0"/>
              <w:keepLines w:val="0"/>
              <w:pageBreakBefore w:val="0"/>
              <w:widowControl/>
              <w:kinsoku/>
              <w:wordWrap/>
              <w:overflowPunct/>
              <w:topLinePunct w:val="0"/>
              <w:autoSpaceDE/>
              <w:autoSpaceDN/>
              <w:bidi w:val="0"/>
              <w:adjustRightInd/>
              <w:snapToGrid/>
              <w:spacing w:line="220" w:lineRule="exact"/>
              <w:rPr>
                <w:rFonts w:hint="default" w:ascii="黑体" w:hAnsi="黑体" w:eastAsia="黑体" w:cs="黑体"/>
                <w:i w:val="0"/>
                <w:iCs w:val="0"/>
                <w:color w:val="000000"/>
                <w:sz w:val="18"/>
                <w:szCs w:val="18"/>
                <w:u w:val="none"/>
              </w:rPr>
            </w:pPr>
          </w:p>
        </w:tc>
      </w:tr>
      <w:tr w14:paraId="4093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8664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99B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9D442">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2952">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80869BB">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56AF">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7F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62B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EFF22">
            <w:pPr>
              <w:keepNext w:val="0"/>
              <w:keepLines w:val="0"/>
              <w:pageBreakBefore w:val="0"/>
              <w:widowControl/>
              <w:kinsoku/>
              <w:wordWrap/>
              <w:overflowPunct/>
              <w:topLinePunct w:val="0"/>
              <w:autoSpaceDE/>
              <w:autoSpaceDN/>
              <w:bidi w:val="0"/>
              <w:adjustRightInd/>
              <w:snapToGrid/>
              <w:spacing w:line="220" w:lineRule="exact"/>
              <w:rPr>
                <w:rFonts w:hint="default" w:ascii="黑体" w:hAnsi="黑体" w:eastAsia="黑体" w:cs="黑体"/>
                <w:i w:val="0"/>
                <w:iCs w:val="0"/>
                <w:color w:val="000000"/>
                <w:sz w:val="18"/>
                <w:szCs w:val="18"/>
                <w:u w:val="none"/>
              </w:rPr>
            </w:pPr>
          </w:p>
        </w:tc>
      </w:tr>
      <w:tr w14:paraId="39B57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087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27C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E1D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01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E06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77AD4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50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 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91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3B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61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34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0C70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1190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A5A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955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3A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334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8009F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46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2F9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03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6C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35DB">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r>
      <w:tr w14:paraId="46735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2876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28A0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F2D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394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EAC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25C7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34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F02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49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E8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3058">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r>
      <w:tr w14:paraId="3BA40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8F52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5BB2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8D2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22A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92E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23ED3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8E7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F39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5E7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8C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E79B">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r>
      <w:tr w14:paraId="3F66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7458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2A55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1B97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01B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BAD7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57353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93D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35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6B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500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8196">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r>
      <w:tr w14:paraId="09331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D3F5B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73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9D4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ED3F">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1CB3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3B7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06D3D1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项目自评得分100分，足额保障公用经费，预算执行率100%，年终无结余。</w:t>
            </w:r>
          </w:p>
        </w:tc>
      </w:tr>
      <w:tr w14:paraId="250B9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706" w:type="dxa"/>
            <w:tcBorders>
              <w:top w:val="single" w:color="000000" w:sz="4" w:space="0"/>
              <w:left w:val="single" w:color="000000" w:sz="4" w:space="0"/>
              <w:bottom w:val="single" w:color="auto" w:sz="4" w:space="0"/>
              <w:right w:val="single" w:color="000000" w:sz="4" w:space="0"/>
            </w:tcBorders>
            <w:shd w:val="clear" w:color="auto" w:fill="auto"/>
            <w:vAlign w:val="center"/>
          </w:tcPr>
          <w:p w14:paraId="5C84BE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auto" w:sz="4" w:space="0"/>
              <w:right w:val="single" w:color="000000" w:sz="4" w:space="0"/>
            </w:tcBorders>
            <w:shd w:val="clear" w:color="auto" w:fill="auto"/>
            <w:vAlign w:val="center"/>
          </w:tcPr>
          <w:p w14:paraId="35A93AB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4F3C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3C5F85E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04B6CA5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69C4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30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485734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项目负责人：陈婷婷</w:t>
            </w:r>
          </w:p>
        </w:tc>
        <w:tc>
          <w:tcPr>
            <w:tcW w:w="6613"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14:paraId="61A2CAB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r w14:paraId="7B56A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20" w:type="dxa"/>
            <w:gridSpan w:val="23"/>
            <w:tcBorders>
              <w:top w:val="single" w:color="auto" w:sz="4" w:space="0"/>
              <w:left w:val="nil"/>
              <w:bottom w:val="nil"/>
              <w:right w:val="nil"/>
            </w:tcBorders>
            <w:shd w:val="clear" w:color="auto" w:fill="auto"/>
            <w:vAlign w:val="center"/>
          </w:tcPr>
          <w:p w14:paraId="2E319ED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14:paraId="2762C193">
            <w:pPr>
              <w:pStyle w:val="2"/>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14:paraId="296BAA98">
            <w:pPr>
              <w:pStyle w:val="2"/>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14:paraId="4E8A6DAE">
            <w:pPr>
              <w:pStyle w:val="2"/>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14:paraId="1C1E8D8B">
            <w:pPr>
              <w:pStyle w:val="2"/>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14:paraId="5A698ABB">
            <w:pPr>
              <w:pStyle w:val="2"/>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14:paraId="13D98B2A">
            <w:pPr>
              <w:pStyle w:val="2"/>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14:paraId="640615FC">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14:paraId="577DE1C8">
            <w:pPr>
              <w:pStyle w:val="2"/>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方正小标宋简体" w:hAnsi="方正小标宋简体" w:eastAsia="方正小标宋简体" w:cs="方正小标宋简体"/>
                <w:i w:val="0"/>
                <w:iCs w:val="0"/>
                <w:color w:val="000000"/>
                <w:kern w:val="0"/>
                <w:sz w:val="30"/>
                <w:szCs w:val="30"/>
                <w:u w:val="none"/>
                <w:lang w:val="en-US" w:eastAsia="zh-CN" w:bidi="ar"/>
              </w:rPr>
            </w:pPr>
          </w:p>
        </w:tc>
      </w:tr>
      <w:tr w14:paraId="7F8E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 w:hRule="atLeast"/>
        </w:trPr>
        <w:tc>
          <w:tcPr>
            <w:tcW w:w="13920" w:type="dxa"/>
            <w:gridSpan w:val="23"/>
            <w:tcBorders>
              <w:top w:val="nil"/>
              <w:left w:val="single" w:color="000000" w:sz="4" w:space="0"/>
              <w:bottom w:val="single" w:color="000000" w:sz="4" w:space="0"/>
              <w:right w:val="single" w:color="000000" w:sz="4" w:space="0"/>
            </w:tcBorders>
            <w:shd w:val="clear" w:color="auto" w:fill="auto"/>
            <w:vAlign w:val="center"/>
          </w:tcPr>
          <w:p w14:paraId="3134007A">
            <w:pPr>
              <w:keepNext w:val="0"/>
              <w:keepLines w:val="0"/>
              <w:pageBreakBefore w:val="0"/>
              <w:widowControl/>
              <w:suppressLineNumbers w:val="0"/>
              <w:kinsoku/>
              <w:wordWrap/>
              <w:overflowPunct/>
              <w:topLinePunct w:val="0"/>
              <w:autoSpaceDE/>
              <w:autoSpaceDN/>
              <w:bidi w:val="0"/>
              <w:adjustRightInd/>
              <w:snapToGrid/>
              <w:spacing w:line="60" w:lineRule="exact"/>
              <w:jc w:val="center"/>
              <w:textAlignment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tc>
      </w:tr>
      <w:tr w14:paraId="7C72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920" w:type="dxa"/>
            <w:gridSpan w:val="23"/>
            <w:tcBorders>
              <w:top w:val="nil"/>
              <w:left w:val="single" w:color="000000" w:sz="4" w:space="0"/>
              <w:bottom w:val="single" w:color="000000" w:sz="4" w:space="0"/>
              <w:right w:val="single" w:color="000000" w:sz="4" w:space="0"/>
            </w:tcBorders>
            <w:shd w:val="clear" w:color="auto" w:fill="auto"/>
            <w:vAlign w:val="center"/>
          </w:tcPr>
          <w:p w14:paraId="190A76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部门预算项目支出绩效自评表（2024年度）</w:t>
            </w:r>
          </w:p>
        </w:tc>
      </w:tr>
      <w:tr w14:paraId="12B2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50B1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130224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51080024Y000010829846-公用经费2（公车补贴、党建、退休活动）</w:t>
            </w:r>
          </w:p>
        </w:tc>
      </w:tr>
      <w:tr w14:paraId="2294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F1FD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E88957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广元市统计局部门</w:t>
            </w:r>
          </w:p>
        </w:tc>
        <w:tc>
          <w:tcPr>
            <w:tcW w:w="957" w:type="dxa"/>
            <w:tcBorders>
              <w:top w:val="nil"/>
              <w:left w:val="nil"/>
              <w:bottom w:val="nil"/>
              <w:right w:val="nil"/>
            </w:tcBorders>
            <w:shd w:val="clear" w:color="auto" w:fill="auto"/>
            <w:vAlign w:val="center"/>
          </w:tcPr>
          <w:p w14:paraId="32DC4BF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CBF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广元市统计局</w:t>
            </w:r>
          </w:p>
        </w:tc>
      </w:tr>
      <w:tr w14:paraId="1DD2C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5966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BCCB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B5BAE7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70482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496CE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DF114">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C8E60">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6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540411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4DD8C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足额保障公用经费，预算执行率100%，年终无结余。</w:t>
            </w:r>
          </w:p>
        </w:tc>
      </w:tr>
      <w:tr w14:paraId="6626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2A441">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767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spacing w:val="-11"/>
                <w:kern w:val="0"/>
                <w:sz w:val="18"/>
                <w:szCs w:val="18"/>
                <w:u w:val="none"/>
                <w:lang w:val="en-US" w:eastAsia="zh-CN" w:bidi="ar"/>
              </w:rPr>
              <w:t>项目实施内容及过程概述</w:t>
            </w:r>
          </w:p>
        </w:tc>
        <w:tc>
          <w:tcPr>
            <w:tcW w:w="1104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EF8FD9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r>
      <w:tr w14:paraId="70E48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097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D0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168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122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2AE08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EA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02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7A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9C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2AB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D26F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32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4F6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34.87</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74D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34.87</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99193B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34.87</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0F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B2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D6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9FC1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47C8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04AF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EFA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76F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34.87</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3EB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34.87</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9D0B8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34.87</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C3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53A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0C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A0880">
            <w:pPr>
              <w:keepNext w:val="0"/>
              <w:keepLines w:val="0"/>
              <w:pageBreakBefore w:val="0"/>
              <w:widowControl/>
              <w:kinsoku/>
              <w:wordWrap/>
              <w:overflowPunct/>
              <w:topLinePunct w:val="0"/>
              <w:autoSpaceDE/>
              <w:autoSpaceDN/>
              <w:bidi w:val="0"/>
              <w:adjustRightInd/>
              <w:snapToGrid/>
              <w:spacing w:line="220" w:lineRule="exact"/>
              <w:rPr>
                <w:rFonts w:hint="default" w:ascii="黑体" w:hAnsi="黑体" w:eastAsia="黑体" w:cs="黑体"/>
                <w:i w:val="0"/>
                <w:iCs w:val="0"/>
                <w:color w:val="000000"/>
                <w:sz w:val="18"/>
                <w:szCs w:val="18"/>
                <w:u w:val="none"/>
              </w:rPr>
            </w:pPr>
          </w:p>
        </w:tc>
      </w:tr>
      <w:tr w14:paraId="4FF5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6C07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35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82F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91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00469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EFD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F0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8F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F9297">
            <w:pPr>
              <w:keepNext w:val="0"/>
              <w:keepLines w:val="0"/>
              <w:pageBreakBefore w:val="0"/>
              <w:widowControl/>
              <w:kinsoku/>
              <w:wordWrap/>
              <w:overflowPunct/>
              <w:topLinePunct w:val="0"/>
              <w:autoSpaceDE/>
              <w:autoSpaceDN/>
              <w:bidi w:val="0"/>
              <w:adjustRightInd/>
              <w:snapToGrid/>
              <w:spacing w:line="220" w:lineRule="exact"/>
              <w:rPr>
                <w:rFonts w:hint="default" w:ascii="黑体" w:hAnsi="黑体" w:eastAsia="黑体" w:cs="黑体"/>
                <w:i w:val="0"/>
                <w:iCs w:val="0"/>
                <w:color w:val="000000"/>
                <w:sz w:val="18"/>
                <w:szCs w:val="18"/>
                <w:u w:val="none"/>
              </w:rPr>
            </w:pPr>
          </w:p>
        </w:tc>
      </w:tr>
      <w:tr w14:paraId="34FF5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9D1E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AA7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E656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2E5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9F322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0C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77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19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85BFC">
            <w:pPr>
              <w:keepNext w:val="0"/>
              <w:keepLines w:val="0"/>
              <w:pageBreakBefore w:val="0"/>
              <w:widowControl/>
              <w:kinsoku/>
              <w:wordWrap/>
              <w:overflowPunct/>
              <w:topLinePunct w:val="0"/>
              <w:autoSpaceDE/>
              <w:autoSpaceDN/>
              <w:bidi w:val="0"/>
              <w:adjustRightInd/>
              <w:snapToGrid/>
              <w:spacing w:line="220" w:lineRule="exact"/>
              <w:rPr>
                <w:rFonts w:hint="default" w:ascii="黑体" w:hAnsi="黑体" w:eastAsia="黑体" w:cs="黑体"/>
                <w:i w:val="0"/>
                <w:iCs w:val="0"/>
                <w:color w:val="000000"/>
                <w:sz w:val="18"/>
                <w:szCs w:val="18"/>
                <w:u w:val="none"/>
              </w:rPr>
            </w:pPr>
          </w:p>
        </w:tc>
      </w:tr>
      <w:tr w14:paraId="7B12A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37C9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B2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07232">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92D1">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c>
          <w:tcPr>
            <w:tcW w:w="2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0B39EDA">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EE64">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F5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2ED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25791">
            <w:pPr>
              <w:keepNext w:val="0"/>
              <w:keepLines w:val="0"/>
              <w:pageBreakBefore w:val="0"/>
              <w:widowControl/>
              <w:kinsoku/>
              <w:wordWrap/>
              <w:overflowPunct/>
              <w:topLinePunct w:val="0"/>
              <w:autoSpaceDE/>
              <w:autoSpaceDN/>
              <w:bidi w:val="0"/>
              <w:adjustRightInd/>
              <w:snapToGrid/>
              <w:spacing w:line="220" w:lineRule="exact"/>
              <w:rPr>
                <w:rFonts w:hint="default" w:ascii="黑体" w:hAnsi="黑体" w:eastAsia="黑体" w:cs="黑体"/>
                <w:i w:val="0"/>
                <w:iCs w:val="0"/>
                <w:color w:val="000000"/>
                <w:sz w:val="18"/>
                <w:szCs w:val="18"/>
                <w:u w:val="none"/>
              </w:rPr>
            </w:pPr>
          </w:p>
        </w:tc>
      </w:tr>
      <w:tr w14:paraId="5482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1E0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F31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5E9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144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01F9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163F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A1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度量</w:t>
            </w:r>
          </w:p>
          <w:p w14:paraId="557322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53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46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24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EB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84AB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C2CE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D267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D44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D7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1F0B2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4719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05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1E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007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85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42E3">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r>
      <w:tr w14:paraId="3DA05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C648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D21D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B111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C0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11"/>
                <w:kern w:val="0"/>
                <w:sz w:val="18"/>
                <w:szCs w:val="18"/>
                <w:u w:val="none"/>
                <w:lang w:val="en-US" w:eastAsia="zh-CN" w:bidi="ar"/>
              </w:rPr>
              <w:t>预算编制准确率（计算方法为：∣（执行数-预算数）/预算数∣）</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DA2C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4F9B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8A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7C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0A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B83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F83D">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r>
      <w:tr w14:paraId="3CAC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C601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5AB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33F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A7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6C397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6C7C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DB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A0A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44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D2D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FBC2">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r>
      <w:tr w14:paraId="21E5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CC5F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1865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9594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F5F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F9D80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F5CB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DE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1C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5E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85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E655">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val="0"/>
                <w:iCs w:val="0"/>
                <w:color w:val="000000"/>
                <w:sz w:val="16"/>
                <w:szCs w:val="16"/>
                <w:u w:val="none"/>
              </w:rPr>
            </w:pPr>
          </w:p>
        </w:tc>
      </w:tr>
      <w:tr w14:paraId="4C956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0468"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0BEA0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6D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FE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563A">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373B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BD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292B2F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项目自评得分100分，预算执行率100%，年终无结余。</w:t>
            </w:r>
          </w:p>
        </w:tc>
      </w:tr>
      <w:tr w14:paraId="4F58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93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0FF2FB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否</w:t>
            </w:r>
          </w:p>
        </w:tc>
      </w:tr>
      <w:tr w14:paraId="1F183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2C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3BD4A0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微软雅黑" w:hAnsi="微软雅黑" w:eastAsia="微软雅黑" w:cs="微软雅黑"/>
                <w:i w:val="0"/>
                <w:iCs w:val="0"/>
                <w:color w:val="000000"/>
                <w:sz w:val="16"/>
                <w:szCs w:val="16"/>
                <w:u w:val="none"/>
              </w:rPr>
            </w:pPr>
            <w:r>
              <w:rPr>
                <w:rFonts w:hint="default" w:ascii="微软雅黑" w:hAnsi="微软雅黑" w:eastAsia="微软雅黑" w:cs="微软雅黑"/>
                <w:i w:val="0"/>
                <w:iCs w:val="0"/>
                <w:color w:val="000000"/>
                <w:kern w:val="0"/>
                <w:sz w:val="16"/>
                <w:szCs w:val="16"/>
                <w:u w:val="none"/>
                <w:lang w:val="en-US" w:eastAsia="zh-CN" w:bidi="ar"/>
              </w:rPr>
              <w:t>都</w:t>
            </w:r>
          </w:p>
        </w:tc>
      </w:tr>
      <w:tr w14:paraId="24C6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7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87F14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项目负责人：陈婷婷</w:t>
            </w:r>
          </w:p>
        </w:tc>
        <w:tc>
          <w:tcPr>
            <w:tcW w:w="661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AFBE5B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财务负责人：张晓磊</w:t>
            </w:r>
          </w:p>
        </w:tc>
      </w:tr>
    </w:tbl>
    <w:p w14:paraId="2DFC279A">
      <w:pPr>
        <w:pStyle w:val="6"/>
        <w:rPr>
          <w:rFonts w:hint="eastAsia" w:ascii="Times New Roman" w:hAnsi="Times New Roman" w:cs="宋体"/>
          <w:color w:val="000000" w:themeColor="text1"/>
          <w:kern w:val="0"/>
          <w:sz w:val="32"/>
          <w:szCs w:val="32"/>
          <w:highlight w:val="yellow"/>
          <w:shd w:val="clear" w:color="auto" w:fill="FFFFFF"/>
          <w:lang w:val="zh-CN"/>
          <w14:textFill>
            <w14:solidFill>
              <w14:schemeClr w14:val="tx1"/>
            </w14:solidFill>
          </w14:textFill>
        </w:rPr>
        <w:sectPr>
          <w:pgSz w:w="16838" w:h="11906" w:orient="landscape"/>
          <w:pgMar w:top="1800" w:right="1440" w:bottom="1800" w:left="1440" w:header="851" w:footer="992" w:gutter="0"/>
          <w:pgNumType w:fmt="decimal"/>
          <w:cols w:space="425" w:num="1"/>
          <w:titlePg/>
          <w:docGrid w:type="lines" w:linePitch="312" w:charSpace="0"/>
        </w:sectPr>
      </w:pPr>
    </w:p>
    <w:p w14:paraId="751C4DDF">
      <w:pPr>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shd w:val="clear" w:color="auto" w:fill="FFFFFF"/>
          <w:lang w:val="zh-CN"/>
          <w14:textFill>
            <w14:solidFill>
              <w14:schemeClr w14:val="tx1"/>
            </w14:solidFill>
          </w14:textFill>
        </w:rPr>
        <w:t>附件</w:t>
      </w:r>
      <w:r>
        <w:rPr>
          <w:rFonts w:hint="eastAsia" w:ascii="黑体" w:hAnsi="黑体" w:eastAsia="黑体" w:cs="黑体"/>
          <w:color w:val="000000" w:themeColor="text1"/>
          <w:kern w:val="0"/>
          <w:sz w:val="32"/>
          <w:szCs w:val="32"/>
          <w:highlight w:val="none"/>
          <w:shd w:val="clear" w:color="auto" w:fill="FFFFFF"/>
          <w:lang w:val="en-US" w:eastAsia="zh-CN"/>
          <w14:textFill>
            <w14:solidFill>
              <w14:schemeClr w14:val="tx1"/>
            </w14:solidFill>
          </w14:textFill>
        </w:rPr>
        <w:t>2</w:t>
      </w:r>
    </w:p>
    <w:p w14:paraId="02C8FC55">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40" w:lineRule="exact"/>
        <w:ind w:left="0" w:right="0"/>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bidi="ar"/>
        </w:rPr>
        <w:t>广元市统计局</w:t>
      </w:r>
    </w:p>
    <w:p w14:paraId="58764687">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40" w:lineRule="exact"/>
        <w:ind w:left="0" w:right="0"/>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bidi="ar"/>
        </w:rPr>
        <w:t>高层次人才安家及引进人才费用绩效</w:t>
      </w:r>
    </w:p>
    <w:p w14:paraId="0B902FC4">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40" w:lineRule="exact"/>
        <w:ind w:left="0" w:right="0"/>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bidi="ar"/>
        </w:rPr>
        <w:t>自 评 报 告</w:t>
      </w:r>
    </w:p>
    <w:p w14:paraId="435A3E79">
      <w:pPr>
        <w:keepNext w:val="0"/>
        <w:keepLines w:val="0"/>
        <w:widowControl w:val="0"/>
        <w:suppressLineNumbers w:val="0"/>
        <w:adjustRightInd w:val="0"/>
        <w:snapToGrid w:val="0"/>
        <w:spacing w:before="0" w:beforeAutospacing="0" w:after="0" w:afterAutospacing="0" w:line="576" w:lineRule="exact"/>
        <w:ind w:left="0" w:right="0" w:firstLine="640" w:firstLineChars="200"/>
        <w:jc w:val="both"/>
        <w:rPr>
          <w:rFonts w:hint="default" w:ascii="黑体" w:hAnsi="宋体" w:eastAsia="黑体" w:cs="黑体"/>
          <w:kern w:val="2"/>
          <w:sz w:val="32"/>
          <w:szCs w:val="32"/>
          <w:lang w:val="en-US" w:eastAsia="zh-CN" w:bidi="ar"/>
        </w:rPr>
      </w:pPr>
    </w:p>
    <w:p w14:paraId="04E783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一、项目概况</w:t>
      </w:r>
    </w:p>
    <w:p w14:paraId="7140E5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right="0" w:firstLine="640" w:firstLineChars="200"/>
        <w:contextualSpacing/>
        <w:jc w:val="left"/>
        <w:textAlignment w:val="auto"/>
        <w:rPr>
          <w:rFonts w:hint="default" w:ascii="仿宋" w:hAnsi="仿宋" w:eastAsia="仿宋" w:cs="仿宋"/>
          <w:kern w:val="0"/>
          <w:sz w:val="32"/>
          <w:szCs w:val="32"/>
          <w:shd w:val="clear" w:fill="FFFFFF"/>
        </w:rPr>
      </w:pPr>
      <w:r>
        <w:rPr>
          <w:rFonts w:hint="eastAsia" w:ascii="楷体" w:hAnsi="楷体" w:eastAsia="楷体" w:cs="楷体"/>
          <w:kern w:val="2"/>
          <w:sz w:val="32"/>
          <w:szCs w:val="32"/>
          <w:lang w:val="en-US" w:eastAsia="zh-CN" w:bidi="ar"/>
        </w:rPr>
        <w:t>（一）设立背景及基本情况。</w:t>
      </w:r>
      <w:r>
        <w:rPr>
          <w:rFonts w:hint="default" w:ascii="仿宋" w:hAnsi="仿宋" w:eastAsia="仿宋" w:cs="仿宋"/>
          <w:kern w:val="2"/>
          <w:sz w:val="32"/>
          <w:szCs w:val="32"/>
          <w:lang w:val="en-US" w:eastAsia="zh-CN" w:bidi="ar"/>
        </w:rPr>
        <w:t>按照《中共广元市委人才工作领导小组办公室关于第十六批公开引进急需紧缺人才的公告》规定，我</w:t>
      </w:r>
      <w:r>
        <w:rPr>
          <w:rFonts w:hint="eastAsia" w:ascii="仿宋" w:hAnsi="仿宋" w:eastAsia="仿宋" w:cs="仿宋"/>
          <w:kern w:val="2"/>
          <w:sz w:val="32"/>
          <w:szCs w:val="32"/>
          <w:lang w:val="en-US" w:eastAsia="zh-CN" w:bidi="ar"/>
        </w:rPr>
        <w:t>局</w:t>
      </w:r>
      <w:r>
        <w:rPr>
          <w:rFonts w:hint="default" w:ascii="仿宋" w:hAnsi="仿宋" w:eastAsia="仿宋" w:cs="仿宋"/>
          <w:kern w:val="2"/>
          <w:sz w:val="32"/>
          <w:szCs w:val="32"/>
          <w:lang w:val="en-US" w:eastAsia="zh-CN" w:bidi="ar"/>
        </w:rPr>
        <w:t>于2024年新引进了一名高层次人才，涉及安家补助费和引进人才相关费用，另外还包括其他以前年度引进人才的生活补助等相关费用。</w:t>
      </w:r>
    </w:p>
    <w:p w14:paraId="7339CE47">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仿宋" w:hAnsi="仿宋" w:eastAsia="仿宋" w:cs="仿宋"/>
          <w:kern w:val="2"/>
          <w:sz w:val="32"/>
          <w:szCs w:val="32"/>
        </w:rPr>
      </w:pPr>
      <w:r>
        <w:rPr>
          <w:rFonts w:hint="eastAsia" w:ascii="楷体" w:hAnsi="楷体" w:eastAsia="楷体" w:cs="楷体"/>
          <w:kern w:val="2"/>
          <w:sz w:val="32"/>
          <w:szCs w:val="32"/>
          <w:lang w:val="en-US" w:eastAsia="zh-CN" w:bidi="ar"/>
        </w:rPr>
        <w:t>（二）实施目的及支持方向。</w:t>
      </w:r>
      <w:r>
        <w:rPr>
          <w:rFonts w:hint="default" w:ascii="仿宋" w:hAnsi="仿宋" w:eastAsia="仿宋" w:cs="仿宋"/>
          <w:kern w:val="2"/>
          <w:sz w:val="32"/>
          <w:szCs w:val="32"/>
          <w:lang w:val="en-US" w:eastAsia="zh-CN" w:bidi="ar"/>
        </w:rPr>
        <w:t>《中共广元市委人才工作领导小组办公室关于第十六批公开引进急需紧缺人才的公告》《广元市急需紧缺人才引进实施办法》《广元市支持重点产业企业人才队伍建设十条措施》等相关政策。</w:t>
      </w:r>
    </w:p>
    <w:p w14:paraId="48F7294F">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仿宋" w:hAnsi="仿宋" w:eastAsia="仿宋" w:cs="仿宋"/>
          <w:kern w:val="0"/>
          <w:sz w:val="32"/>
          <w:szCs w:val="32"/>
          <w:shd w:val="clear" w:fill="FFFFFF"/>
        </w:rPr>
      </w:pPr>
      <w:r>
        <w:rPr>
          <w:rFonts w:hint="eastAsia" w:ascii="楷体" w:hAnsi="楷体" w:eastAsia="楷体" w:cs="楷体"/>
          <w:kern w:val="2"/>
          <w:sz w:val="32"/>
          <w:szCs w:val="32"/>
          <w:lang w:val="en-US" w:eastAsia="zh-CN" w:bidi="ar"/>
        </w:rPr>
        <w:t>（三）预算安排及分配管理。</w:t>
      </w:r>
      <w:r>
        <w:rPr>
          <w:rFonts w:hint="default" w:ascii="仿宋" w:hAnsi="仿宋" w:eastAsia="仿宋" w:cs="仿宋"/>
          <w:kern w:val="2"/>
          <w:sz w:val="32"/>
          <w:szCs w:val="32"/>
          <w:lang w:val="en-US" w:eastAsia="zh-CN" w:bidi="ar"/>
        </w:rPr>
        <w:t>2024年度引进人才1名，安家补助8万元，生活补助0.3万元；以前年度引进人才生活补助2024年4.5万元，追加2023年度生活补助5.4万元，资金预算执行到人头，</w:t>
      </w:r>
      <w:r>
        <w:rPr>
          <w:rFonts w:hint="default" w:ascii="仿宋" w:hAnsi="仿宋" w:eastAsia="仿宋" w:cs="仿宋"/>
          <w:kern w:val="0"/>
          <w:sz w:val="32"/>
          <w:szCs w:val="32"/>
          <w:shd w:val="clear" w:fill="FFFFFF"/>
          <w:lang w:val="en-US" w:eastAsia="zh-CN" w:bidi="ar"/>
        </w:rPr>
        <w:t>不存在分配资金等情况。</w:t>
      </w:r>
    </w:p>
    <w:p w14:paraId="6DAFB7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default" w:ascii="仿宋" w:hAnsi="仿宋" w:eastAsia="仿宋" w:cs="仿宋"/>
          <w:kern w:val="0"/>
          <w:sz w:val="32"/>
          <w:szCs w:val="32"/>
          <w:shd w:val="clear" w:fill="FFFFFF"/>
        </w:rPr>
      </w:pPr>
      <w:r>
        <w:rPr>
          <w:rFonts w:hint="eastAsia" w:ascii="楷体" w:hAnsi="楷体" w:eastAsia="楷体" w:cs="楷体"/>
          <w:kern w:val="2"/>
          <w:sz w:val="32"/>
          <w:szCs w:val="32"/>
          <w:lang w:val="en-US" w:eastAsia="zh-CN" w:bidi="ar"/>
        </w:rPr>
        <w:t>（四）项目绩效目标设置。</w:t>
      </w:r>
      <w:r>
        <w:rPr>
          <w:rFonts w:hint="default" w:ascii="仿宋" w:hAnsi="仿宋" w:eastAsia="仿宋" w:cs="仿宋"/>
          <w:kern w:val="2"/>
          <w:sz w:val="32"/>
          <w:szCs w:val="32"/>
          <w:lang w:val="en-US" w:eastAsia="zh-CN" w:bidi="ar"/>
        </w:rPr>
        <w:t>本</w:t>
      </w:r>
      <w:r>
        <w:rPr>
          <w:rFonts w:hint="default" w:ascii="仿宋" w:hAnsi="仿宋" w:eastAsia="仿宋" w:cs="仿宋"/>
          <w:kern w:val="0"/>
          <w:sz w:val="32"/>
          <w:szCs w:val="32"/>
          <w:shd w:val="clear" w:fill="FFFFFF"/>
          <w:lang w:val="en-US" w:eastAsia="zh-CN" w:bidi="ar"/>
        </w:rPr>
        <w:t>项目分年度根据工作安排开展绩效目标设置、绩效整体、区域和具体绩效目标设置情况，每年按规定开展绩效监控，绩效自评等工作，2024年度项目预算资金18.2万元，设置了一级指标4个、二级指标7个、三级指标7个。</w:t>
      </w:r>
    </w:p>
    <w:p w14:paraId="0310E2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二、评价实施</w:t>
      </w:r>
    </w:p>
    <w:p w14:paraId="013D6497">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jc w:val="both"/>
        <w:textAlignment w:val="auto"/>
        <w:rPr>
          <w:rFonts w:hint="default" w:ascii="仿宋" w:hAnsi="仿宋" w:eastAsia="仿宋" w:cs="仿宋"/>
          <w:kern w:val="2"/>
          <w:sz w:val="32"/>
          <w:szCs w:val="32"/>
        </w:rPr>
      </w:pPr>
      <w:r>
        <w:rPr>
          <w:rFonts w:hint="eastAsia" w:ascii="楷体" w:hAnsi="楷体" w:eastAsia="楷体" w:cs="楷体"/>
          <w:kern w:val="2"/>
          <w:sz w:val="32"/>
          <w:szCs w:val="32"/>
          <w:lang w:val="en-US" w:eastAsia="zh-CN" w:bidi="ar"/>
        </w:rPr>
        <w:t>（一）评价目的。</w:t>
      </w:r>
      <w:r>
        <w:rPr>
          <w:rFonts w:hint="default" w:ascii="仿宋" w:hAnsi="仿宋" w:eastAsia="仿宋" w:cs="仿宋"/>
          <w:kern w:val="2"/>
          <w:sz w:val="32"/>
          <w:szCs w:val="32"/>
          <w:lang w:val="en-US" w:eastAsia="zh-CN" w:bidi="ar"/>
        </w:rPr>
        <w:t>通过项目绩效自评要实现的目的是严格预算管理，科学设置绩效指标，确保预算执行绩效水平。</w:t>
      </w:r>
    </w:p>
    <w:p w14:paraId="0257CC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default" w:ascii="仿宋" w:hAnsi="仿宋" w:eastAsia="仿宋" w:cs="仿宋"/>
          <w:kern w:val="2"/>
          <w:sz w:val="32"/>
          <w:szCs w:val="32"/>
        </w:rPr>
      </w:pPr>
      <w:r>
        <w:rPr>
          <w:rFonts w:hint="eastAsia" w:ascii="楷体" w:hAnsi="楷体" w:eastAsia="楷体" w:cs="楷体"/>
          <w:kern w:val="2"/>
          <w:sz w:val="32"/>
          <w:szCs w:val="32"/>
          <w:lang w:val="en-US" w:eastAsia="zh-CN" w:bidi="ar"/>
        </w:rPr>
        <w:t>（二）预设问题及评价重点。</w:t>
      </w:r>
      <w:r>
        <w:rPr>
          <w:rFonts w:hint="default" w:ascii="仿宋" w:hAnsi="仿宋" w:eastAsia="仿宋" w:cs="仿宋"/>
          <w:kern w:val="2"/>
          <w:sz w:val="32"/>
          <w:szCs w:val="32"/>
          <w:lang w:val="en-US" w:eastAsia="zh-CN" w:bidi="ar"/>
        </w:rPr>
        <w:t>按照绩效评价指标体系，对资金支出使用全过程及其实施效果进行综合评价和判断。</w:t>
      </w:r>
    </w:p>
    <w:p w14:paraId="2E6BEB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default" w:ascii="仿宋" w:hAnsi="仿宋" w:eastAsia="仿宋" w:cs="仿宋"/>
          <w:kern w:val="2"/>
          <w:sz w:val="32"/>
          <w:szCs w:val="32"/>
        </w:rPr>
      </w:pPr>
      <w:r>
        <w:rPr>
          <w:rFonts w:hint="eastAsia" w:ascii="楷体" w:hAnsi="楷体" w:eastAsia="楷体" w:cs="楷体"/>
          <w:kern w:val="2"/>
          <w:sz w:val="32"/>
          <w:szCs w:val="32"/>
          <w:lang w:val="en-US" w:eastAsia="zh-CN" w:bidi="ar"/>
        </w:rPr>
        <w:t>（三）评价选点。</w:t>
      </w:r>
      <w:r>
        <w:rPr>
          <w:rFonts w:hint="default" w:ascii="仿宋" w:hAnsi="仿宋" w:eastAsia="仿宋" w:cs="仿宋"/>
          <w:kern w:val="2"/>
          <w:sz w:val="32"/>
          <w:szCs w:val="32"/>
          <w:lang w:val="en-US" w:eastAsia="zh-CN" w:bidi="ar"/>
        </w:rPr>
        <w:t>项目绩效自评所抽样点位情况。该项目资金直接预算支付到人头，不存在抽样点位。</w:t>
      </w:r>
    </w:p>
    <w:p w14:paraId="2B2FDCB0">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jc w:val="both"/>
        <w:textAlignment w:val="auto"/>
        <w:rPr>
          <w:rFonts w:hint="default" w:ascii="仿宋" w:hAnsi="仿宋" w:eastAsia="仿宋" w:cs="仿宋"/>
          <w:kern w:val="2"/>
          <w:sz w:val="32"/>
          <w:szCs w:val="32"/>
        </w:rPr>
      </w:pPr>
      <w:r>
        <w:rPr>
          <w:rFonts w:hint="eastAsia" w:ascii="楷体" w:hAnsi="楷体" w:eastAsia="楷体" w:cs="楷体"/>
          <w:kern w:val="2"/>
          <w:sz w:val="32"/>
          <w:szCs w:val="32"/>
          <w:lang w:val="en-US" w:eastAsia="zh-CN" w:bidi="ar"/>
        </w:rPr>
        <w:t>（四）评价方法。</w:t>
      </w:r>
      <w:r>
        <w:rPr>
          <w:rFonts w:hint="default" w:ascii="仿宋" w:hAnsi="仿宋" w:eastAsia="仿宋" w:cs="仿宋"/>
          <w:kern w:val="2"/>
          <w:sz w:val="32"/>
          <w:szCs w:val="32"/>
          <w:lang w:val="en-US" w:eastAsia="zh-CN" w:bidi="ar"/>
        </w:rPr>
        <w:t>根据项目情况和评价重点，我</w:t>
      </w:r>
      <w:r>
        <w:rPr>
          <w:rFonts w:hint="eastAsia" w:ascii="仿宋" w:hAnsi="仿宋" w:eastAsia="仿宋" w:cs="仿宋"/>
          <w:kern w:val="2"/>
          <w:sz w:val="32"/>
          <w:szCs w:val="32"/>
          <w:lang w:val="en-US" w:eastAsia="zh-CN" w:bidi="ar"/>
        </w:rPr>
        <w:t>局</w:t>
      </w:r>
      <w:r>
        <w:rPr>
          <w:rFonts w:hint="default" w:ascii="仿宋" w:hAnsi="仿宋" w:eastAsia="仿宋" w:cs="仿宋"/>
          <w:kern w:val="2"/>
          <w:sz w:val="32"/>
          <w:szCs w:val="32"/>
          <w:lang w:val="en-US" w:eastAsia="zh-CN" w:bidi="ar"/>
        </w:rPr>
        <w:t>采取单位自评法用来收集相关材料和开展具体评价。</w:t>
      </w:r>
    </w:p>
    <w:p w14:paraId="57B3F9F2">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jc w:val="both"/>
        <w:textAlignment w:val="auto"/>
        <w:rPr>
          <w:rFonts w:hint="default" w:ascii="仿宋" w:hAnsi="仿宋" w:eastAsia="仿宋" w:cs="仿宋"/>
          <w:kern w:val="2"/>
          <w:sz w:val="32"/>
          <w:szCs w:val="32"/>
        </w:rPr>
      </w:pPr>
      <w:r>
        <w:rPr>
          <w:rFonts w:hint="eastAsia" w:ascii="楷体" w:hAnsi="楷体" w:eastAsia="楷体" w:cs="楷体"/>
          <w:kern w:val="2"/>
          <w:sz w:val="32"/>
          <w:szCs w:val="32"/>
          <w:lang w:val="en-US" w:eastAsia="zh-CN" w:bidi="ar"/>
        </w:rPr>
        <w:t>（五）评价组织。</w:t>
      </w:r>
      <w:r>
        <w:rPr>
          <w:rFonts w:hint="default" w:ascii="仿宋" w:hAnsi="仿宋" w:eastAsia="仿宋" w:cs="仿宋"/>
          <w:kern w:val="2"/>
          <w:sz w:val="32"/>
          <w:szCs w:val="32"/>
          <w:lang w:val="en-US" w:eastAsia="zh-CN" w:bidi="ar"/>
        </w:rPr>
        <w:t>该项目绩效评价组成人员为市统计局部门预算绩效领导小组成员。</w:t>
      </w:r>
    </w:p>
    <w:p w14:paraId="39ED0B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三、绩效分析</w:t>
      </w:r>
      <w:r>
        <w:rPr>
          <w:rFonts w:hint="default" w:ascii="黑体" w:hAnsi="宋体" w:eastAsia="黑体" w:cs="黑体"/>
          <w:kern w:val="2"/>
          <w:sz w:val="32"/>
          <w:szCs w:val="32"/>
          <w:lang w:val="en-US" w:eastAsia="zh-CN" w:bidi="ar"/>
        </w:rPr>
        <w:tab/>
      </w:r>
    </w:p>
    <w:p w14:paraId="3FCB871D">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jc w:val="both"/>
        <w:textAlignment w:val="auto"/>
        <w:rPr>
          <w:rFonts w:hint="default" w:ascii="仿宋" w:hAnsi="仿宋" w:eastAsia="仿宋" w:cs="仿宋"/>
          <w:kern w:val="2"/>
          <w:sz w:val="32"/>
          <w:szCs w:val="32"/>
        </w:rPr>
      </w:pPr>
      <w:r>
        <w:rPr>
          <w:rFonts w:hint="default" w:ascii="仿宋" w:hAnsi="仿宋" w:eastAsia="仿宋" w:cs="仿宋"/>
          <w:kern w:val="2"/>
          <w:sz w:val="32"/>
          <w:szCs w:val="32"/>
          <w:lang w:val="en-US" w:eastAsia="zh-CN" w:bidi="ar"/>
        </w:rPr>
        <w:t>根据项目预算绩效评价指标体系“通用指标”“专用指标”“个性指标”涉及二、三级指标进行逐项绩效分析并评分。</w:t>
      </w:r>
    </w:p>
    <w:p w14:paraId="6B9ED84F">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jc w:val="both"/>
        <w:textAlignment w:val="auto"/>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（一）通用指标</w:t>
      </w:r>
      <w:r>
        <w:rPr>
          <w:rFonts w:hint="eastAsia" w:ascii="楷体" w:hAnsi="楷体" w:eastAsia="楷体" w:cs="楷体"/>
          <w:kern w:val="0"/>
          <w:sz w:val="32"/>
          <w:szCs w:val="32"/>
          <w:shd w:val="clear" w:fill="FFFFFF"/>
          <w:lang w:val="en-US" w:eastAsia="zh-CN" w:bidi="ar"/>
        </w:rPr>
        <w:t>绩效分析。</w:t>
      </w:r>
    </w:p>
    <w:p w14:paraId="721E3EDA">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jc w:val="both"/>
        <w:textAlignment w:val="auto"/>
        <w:rPr>
          <w:rFonts w:hint="default" w:ascii="仿宋" w:hAnsi="仿宋" w:eastAsia="仿宋" w:cs="仿宋_GB2312"/>
          <w:color w:val="000000" w:themeColor="text1"/>
          <w:kern w:val="2"/>
          <w:sz w:val="32"/>
          <w:szCs w:val="32"/>
          <w14:textFill>
            <w14:solidFill>
              <w14:schemeClr w14:val="tx1"/>
            </w14:solidFill>
          </w14:textFill>
        </w:rPr>
      </w:pPr>
      <w:r>
        <w:rPr>
          <w:rFonts w:hint="default" w:ascii="仿宋" w:hAnsi="仿宋" w:eastAsia="仿宋" w:cs="仿宋"/>
          <w:kern w:val="2"/>
          <w:sz w:val="32"/>
          <w:szCs w:val="32"/>
          <w:lang w:val="en-US" w:eastAsia="zh-CN" w:bidi="ar"/>
        </w:rPr>
        <w:t>1.项目</w:t>
      </w:r>
      <w:r>
        <w:rPr>
          <w:rFonts w:hint="default" w:ascii="仿宋" w:hAnsi="仿宋" w:eastAsia="仿宋" w:cs="仿宋"/>
          <w:color w:val="000000" w:themeColor="text1"/>
          <w:kern w:val="2"/>
          <w:sz w:val="32"/>
          <w:szCs w:val="32"/>
          <w:lang w:val="en-US" w:eastAsia="zh-CN" w:bidi="ar"/>
          <w14:textFill>
            <w14:solidFill>
              <w14:schemeClr w14:val="tx1"/>
            </w14:solidFill>
          </w14:textFill>
        </w:rPr>
        <w:t>决策。围绕决策程序、规划论证、资金投向进行绩效分析。</w:t>
      </w:r>
    </w:p>
    <w:p w14:paraId="5BA0968E">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76" w:lineRule="exact"/>
        <w:ind w:left="0" w:right="0" w:firstLine="640" w:firstLineChars="200"/>
        <w:jc w:val="both"/>
        <w:textAlignment w:val="auto"/>
        <w:rPr>
          <w:rFonts w:hint="default" w:ascii="仿宋" w:hAnsi="仿宋" w:eastAsia="仿宋" w:cs="仿宋_GB2312"/>
          <w:kern w:val="2"/>
          <w:sz w:val="32"/>
          <w:szCs w:val="32"/>
        </w:rPr>
      </w:pPr>
      <w:r>
        <w:rPr>
          <w:rFonts w:hint="default" w:ascii="仿宋" w:hAnsi="仿宋" w:eastAsia="仿宋" w:cs="仿宋"/>
          <w:color w:val="000000" w:themeColor="text1"/>
          <w:kern w:val="2"/>
          <w:sz w:val="32"/>
          <w:szCs w:val="32"/>
          <w:lang w:val="en-US" w:eastAsia="zh-CN" w:bidi="ar"/>
          <w14:textFill>
            <w14:solidFill>
              <w14:schemeClr w14:val="tx1"/>
            </w14:solidFill>
          </w14:textFill>
        </w:rPr>
        <w:t>2.项目管理。按照会计基础工作规范化和《四川省会计管理条例》进行财务核算；依据《中共广元市委人才工作领导小组办公室关于第十六批公开引进急需紧缺人</w:t>
      </w:r>
      <w:r>
        <w:rPr>
          <w:rFonts w:hint="default" w:ascii="仿宋" w:hAnsi="仿宋" w:eastAsia="仿宋" w:cs="仿宋"/>
          <w:kern w:val="2"/>
          <w:sz w:val="32"/>
          <w:szCs w:val="32"/>
          <w:lang w:val="en-US" w:eastAsia="zh-CN" w:bidi="ar"/>
        </w:rPr>
        <w:t>才的公告》《广元市急需紧缺人才引进实施办法》《广元市支持重点产业企业人才队伍建设十条措施》等相关政策和《广元市统计局预算管理制度》等，严格按照部门预算专项资金开支范围执行，专款专用，支出合理。</w:t>
      </w:r>
    </w:p>
    <w:p w14:paraId="7415BD91">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仿宋" w:hAnsi="仿宋" w:eastAsia="仿宋" w:cs="仿宋_GB2312"/>
          <w:kern w:val="2"/>
          <w:sz w:val="32"/>
          <w:szCs w:val="32"/>
        </w:rPr>
      </w:pPr>
      <w:r>
        <w:rPr>
          <w:rFonts w:hint="default" w:ascii="仿宋" w:hAnsi="仿宋" w:eastAsia="仿宋" w:cs="仿宋"/>
          <w:kern w:val="2"/>
          <w:sz w:val="32"/>
          <w:szCs w:val="32"/>
          <w:lang w:val="en-US" w:eastAsia="zh-CN" w:bidi="ar"/>
        </w:rPr>
        <w:t>3.项目实施。2024年度引进人才1名，安家补助8万元，生活补助0.3万元；以前年度引进人才生活补助2024年度 4.5万元，追加2023年度生活补助5.4万元，项目总金额为18.2万元，资金预算执行到人头，生活补助500每月随工资发放，年终追加指标。</w:t>
      </w:r>
    </w:p>
    <w:p w14:paraId="3B391CF9">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仿宋" w:hAnsi="仿宋" w:eastAsia="仿宋" w:cs="仿宋_GB2312"/>
          <w:kern w:val="2"/>
          <w:sz w:val="32"/>
          <w:szCs w:val="32"/>
        </w:rPr>
      </w:pPr>
      <w:r>
        <w:rPr>
          <w:rFonts w:hint="default" w:ascii="仿宋" w:hAnsi="仿宋" w:eastAsia="仿宋" w:cs="仿宋"/>
          <w:kern w:val="2"/>
          <w:sz w:val="32"/>
          <w:szCs w:val="32"/>
          <w:lang w:val="en-US" w:eastAsia="zh-CN" w:bidi="ar"/>
        </w:rPr>
        <w:t>4.项目结果。执行率达100%</w:t>
      </w:r>
    </w:p>
    <w:p w14:paraId="041F6296">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（二）专用指标</w:t>
      </w:r>
      <w:r>
        <w:rPr>
          <w:rFonts w:hint="eastAsia" w:ascii="楷体" w:hAnsi="楷体" w:eastAsia="楷体" w:cs="楷体"/>
          <w:kern w:val="0"/>
          <w:sz w:val="32"/>
          <w:szCs w:val="32"/>
          <w:shd w:val="clear" w:fill="FFFFFF"/>
          <w:lang w:val="en-US" w:eastAsia="zh-CN" w:bidi="ar"/>
        </w:rPr>
        <w:t>绩效分析。</w:t>
      </w:r>
    </w:p>
    <w:p w14:paraId="21FFC29F">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仿宋" w:hAnsi="仿宋" w:eastAsia="仿宋" w:cs="仿宋_GB2312"/>
          <w:kern w:val="2"/>
          <w:sz w:val="32"/>
          <w:szCs w:val="32"/>
        </w:rPr>
      </w:pPr>
      <w:r>
        <w:rPr>
          <w:rFonts w:hint="default" w:ascii="仿宋" w:hAnsi="仿宋" w:eastAsia="仿宋" w:cs="仿宋"/>
          <w:kern w:val="2"/>
          <w:sz w:val="32"/>
          <w:szCs w:val="32"/>
          <w:lang w:val="en-US" w:eastAsia="zh-CN" w:bidi="ar"/>
        </w:rPr>
        <w:t>行政运转类。高层次人才安家及引进人才费用资金用途合规、程序合规，补助资金直接拨付到人，不存在资金分配，优化了统计专业人才结构。</w:t>
      </w:r>
    </w:p>
    <w:p w14:paraId="1CF6E7D5">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仿宋" w:hAnsi="仿宋" w:eastAsia="仿宋" w:cs="仿宋"/>
          <w:kern w:val="2"/>
          <w:sz w:val="32"/>
          <w:szCs w:val="32"/>
        </w:rPr>
      </w:pPr>
      <w:r>
        <w:rPr>
          <w:rFonts w:hint="eastAsia" w:ascii="楷体" w:hAnsi="楷体" w:eastAsia="楷体" w:cs="楷体"/>
          <w:kern w:val="2"/>
          <w:sz w:val="32"/>
          <w:szCs w:val="32"/>
          <w:lang w:val="en-US" w:eastAsia="zh-CN" w:bidi="ar"/>
        </w:rPr>
        <w:t>（三）个性指标</w:t>
      </w:r>
      <w:r>
        <w:rPr>
          <w:rFonts w:hint="eastAsia" w:ascii="楷体" w:hAnsi="楷体" w:eastAsia="楷体" w:cs="楷体"/>
          <w:kern w:val="0"/>
          <w:sz w:val="32"/>
          <w:szCs w:val="32"/>
          <w:shd w:val="clear" w:fill="FFFFFF"/>
          <w:lang w:val="en-US" w:eastAsia="zh-CN" w:bidi="ar"/>
        </w:rPr>
        <w:t>绩效分析。</w:t>
      </w:r>
      <w:r>
        <w:rPr>
          <w:rFonts w:hint="default" w:ascii="仿宋" w:hAnsi="仿宋" w:eastAsia="仿宋" w:cs="仿宋"/>
          <w:kern w:val="0"/>
          <w:sz w:val="32"/>
          <w:szCs w:val="32"/>
          <w:shd w:val="clear" w:fill="FFFFFF"/>
          <w:lang w:val="en-US" w:eastAsia="zh-CN" w:bidi="ar"/>
        </w:rPr>
        <w:t>近两年我局</w:t>
      </w:r>
      <w:r>
        <w:rPr>
          <w:rFonts w:hint="default" w:ascii="仿宋" w:hAnsi="仿宋" w:eastAsia="仿宋" w:cs="仿宋"/>
          <w:kern w:val="2"/>
          <w:sz w:val="32"/>
          <w:szCs w:val="32"/>
          <w:lang w:val="en-US" w:eastAsia="zh-CN" w:bidi="ar"/>
        </w:rPr>
        <w:t>高层次引进人才共9名，其中2024年度新进1名，局机关高层次人才占比达到21%，人才队伍结构进一步得到优化。</w:t>
      </w:r>
    </w:p>
    <w:p w14:paraId="79428EFA">
      <w:pPr>
        <w:pStyle w:val="15"/>
        <w:keepNext w:val="0"/>
        <w:keepLines w:val="0"/>
        <w:pageBreakBefore w:val="0"/>
        <w:widowControl/>
        <w:suppressLineNumbers w:val="0"/>
        <w:tabs>
          <w:tab w:val="left" w:pos="2160"/>
        </w:tabs>
        <w:kinsoku/>
        <w:wordWrap/>
        <w:overflowPunct/>
        <w:topLinePunct w:val="0"/>
        <w:autoSpaceDE/>
        <w:autoSpaceDN/>
        <w:bidi w:val="0"/>
        <w:spacing w:before="0" w:beforeAutospacing="0" w:after="0" w:afterAutospacing="0" w:line="576" w:lineRule="exact"/>
        <w:ind w:left="0" w:right="0" w:firstLine="640" w:firstLineChars="200"/>
        <w:jc w:val="left"/>
        <w:textAlignment w:val="auto"/>
        <w:rPr>
          <w:rFonts w:hint="default" w:ascii="黑体" w:hAnsi="宋体" w:eastAsia="黑体" w:cs="黑体"/>
          <w:kern w:val="0"/>
          <w:position w:val="3"/>
          <w:sz w:val="32"/>
          <w:szCs w:val="32"/>
        </w:rPr>
      </w:pPr>
      <w:r>
        <w:rPr>
          <w:rFonts w:hint="default" w:ascii="黑体" w:hAnsi="宋体" w:eastAsia="黑体" w:cs="黑体"/>
          <w:kern w:val="0"/>
          <w:position w:val="3"/>
          <w:sz w:val="32"/>
          <w:szCs w:val="32"/>
          <w:lang w:val="en-US" w:eastAsia="zh-CN" w:bidi="ar"/>
        </w:rPr>
        <w:t>四、评价结论</w:t>
      </w:r>
    </w:p>
    <w:p w14:paraId="325CCEA5">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仿宋" w:hAnsi="仿宋" w:eastAsia="仿宋" w:cs="仿宋"/>
          <w:kern w:val="2"/>
          <w:sz w:val="32"/>
          <w:szCs w:val="32"/>
        </w:rPr>
      </w:pPr>
      <w:r>
        <w:rPr>
          <w:rFonts w:hint="default" w:ascii="仿宋" w:hAnsi="仿宋" w:eastAsia="仿宋" w:cs="仿宋"/>
          <w:kern w:val="2"/>
          <w:sz w:val="32"/>
          <w:szCs w:val="32"/>
          <w:lang w:val="en-US" w:eastAsia="zh-CN" w:bidi="ar"/>
        </w:rPr>
        <w:t>我局该项目预算执行到位，做到了财务公开、会计核算真实、规范，没有截留、挪用财政资金、擅自扩大或缩小资金使用范围、改变资金用途等现象，未在项目申报中弄虚作假，套取财政资金，保证了专项资金专款专用。安家费一次性补助到位，每月500 的生活补助随工资发放到位，年终指标冲回，此项目自评得分100分。</w:t>
      </w:r>
    </w:p>
    <w:p w14:paraId="703A7ADF">
      <w:pPr>
        <w:pStyle w:val="15"/>
        <w:keepNext w:val="0"/>
        <w:keepLines w:val="0"/>
        <w:pageBreakBefore w:val="0"/>
        <w:widowControl/>
        <w:suppressLineNumbers w:val="0"/>
        <w:tabs>
          <w:tab w:val="left" w:pos="2160"/>
        </w:tabs>
        <w:kinsoku/>
        <w:wordWrap/>
        <w:overflowPunct/>
        <w:topLinePunct w:val="0"/>
        <w:autoSpaceDE/>
        <w:autoSpaceDN/>
        <w:bidi w:val="0"/>
        <w:spacing w:before="0" w:beforeAutospacing="0" w:after="0" w:afterAutospacing="0" w:line="576" w:lineRule="exact"/>
        <w:ind w:left="0" w:right="0" w:firstLine="640" w:firstLineChars="200"/>
        <w:jc w:val="left"/>
        <w:textAlignment w:val="auto"/>
        <w:rPr>
          <w:rFonts w:hint="default" w:ascii="黑体" w:hAnsi="宋体" w:eastAsia="黑体" w:cs="黑体"/>
          <w:kern w:val="0"/>
          <w:position w:val="3"/>
          <w:sz w:val="32"/>
          <w:szCs w:val="32"/>
        </w:rPr>
      </w:pPr>
      <w:r>
        <w:rPr>
          <w:rFonts w:hint="default" w:ascii="黑体" w:hAnsi="宋体" w:eastAsia="黑体" w:cs="黑体"/>
          <w:kern w:val="0"/>
          <w:position w:val="3"/>
          <w:sz w:val="32"/>
          <w:szCs w:val="32"/>
          <w:lang w:val="en-US" w:eastAsia="zh-CN" w:bidi="ar"/>
        </w:rPr>
        <w:t>五、存在主要问题</w:t>
      </w:r>
    </w:p>
    <w:p w14:paraId="2BCB47C6">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仿宋" w:hAnsi="仿宋" w:eastAsia="仿宋" w:cs="仿宋"/>
          <w:kern w:val="2"/>
          <w:sz w:val="32"/>
          <w:szCs w:val="32"/>
        </w:rPr>
      </w:pPr>
      <w:r>
        <w:rPr>
          <w:rFonts w:hint="default" w:ascii="仿宋" w:hAnsi="仿宋" w:eastAsia="仿宋" w:cs="仿宋"/>
          <w:kern w:val="2"/>
          <w:sz w:val="32"/>
          <w:szCs w:val="32"/>
          <w:lang w:val="en-US" w:eastAsia="zh-CN" w:bidi="ar"/>
        </w:rPr>
        <w:t>结合自评情况，存在的问题是预算指标到位较晚，存在用其他人员经费垫支每月生活补助的情况，只能在年终指标拨付到位后冲回。</w:t>
      </w:r>
    </w:p>
    <w:p w14:paraId="5B5EF963">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六、改进建议</w:t>
      </w:r>
    </w:p>
    <w:p w14:paraId="3E1FC0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6" w:lineRule="exact"/>
        <w:ind w:left="0" w:right="0"/>
        <w:jc w:val="both"/>
        <w:textAlignment w:val="auto"/>
        <w:rPr>
          <w:rFonts w:hint="default" w:ascii="仿宋" w:hAnsi="仿宋" w:eastAsia="仿宋" w:cs="仿宋"/>
          <w:kern w:val="2"/>
          <w:sz w:val="32"/>
          <w:szCs w:val="32"/>
        </w:rPr>
      </w:pPr>
      <w:r>
        <w:rPr>
          <w:rFonts w:hint="default" w:ascii="仿宋" w:hAnsi="仿宋" w:eastAsia="仿宋" w:cs="仿宋"/>
          <w:kern w:val="0"/>
          <w:sz w:val="32"/>
          <w:szCs w:val="32"/>
          <w:shd w:val="clear" w:fill="FFFFFF"/>
          <w:lang w:val="en-US" w:eastAsia="zh-CN" w:bidi="ar"/>
        </w:rPr>
        <w:t xml:space="preserve">    </w:t>
      </w:r>
      <w:r>
        <w:rPr>
          <w:rFonts w:hint="default" w:ascii="仿宋" w:hAnsi="仿宋" w:eastAsia="仿宋" w:cs="仿宋"/>
          <w:kern w:val="2"/>
          <w:sz w:val="32"/>
          <w:szCs w:val="32"/>
          <w:lang w:val="en-US" w:eastAsia="zh-CN" w:bidi="ar"/>
        </w:rPr>
        <w:t>一是继续加强人员培训，提高财政预算资金管理、绩效评价能力，更好的适应新形势下财政管理工作需要。二是进一步完善相关财务制度，财务考核办法，建立长效管理机制。三是做好预算执行的监控工作，按时间节点对执行进度较慢的项目应及时提醒，加快工作完成后的预算执行。</w:t>
      </w:r>
    </w:p>
    <w:p w14:paraId="1BC9C2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6" w:lineRule="exact"/>
        <w:ind w:left="0" w:right="0" w:firstLine="320" w:firstLineChars="100"/>
        <w:jc w:val="both"/>
        <w:textAlignment w:val="auto"/>
        <w:rPr>
          <w:rFonts w:hint="default" w:ascii="仿宋" w:hAnsi="仿宋" w:eastAsia="仿宋" w:cs="仿宋"/>
          <w:kern w:val="0"/>
          <w:sz w:val="32"/>
          <w:szCs w:val="32"/>
          <w:shd w:val="clear" w:fill="FFFFFF"/>
        </w:rPr>
      </w:pPr>
      <w:r>
        <w:rPr>
          <w:rFonts w:hint="default" w:ascii="仿宋" w:hAnsi="仿宋" w:eastAsia="仿宋" w:cs="仿宋"/>
          <w:kern w:val="0"/>
          <w:sz w:val="32"/>
          <w:szCs w:val="32"/>
          <w:shd w:val="clear" w:fill="FFFFFF"/>
          <w:lang w:val="en-US" w:eastAsia="zh-CN" w:bidi="ar"/>
        </w:rPr>
        <w:t xml:space="preserve"> </w:t>
      </w:r>
    </w:p>
    <w:p w14:paraId="37F148A4">
      <w:pPr>
        <w:widowControl/>
        <w:adjustRightInd w:val="0"/>
        <w:snapToGrid w:val="0"/>
        <w:spacing w:line="576" w:lineRule="exact"/>
        <w:ind w:firstLine="640" w:firstLineChars="200"/>
        <w:contextualSpacing/>
        <w:jc w:val="left"/>
        <w:rPr>
          <w:rFonts w:hint="eastAsia" w:ascii="仿宋_GB2312" w:hAnsi="仿宋_GB2312" w:eastAsia="仿宋_GB2312" w:cs="仿宋_GB2312"/>
          <w:b w:val="0"/>
          <w:bCs w:val="0"/>
          <w:color w:val="000000" w:themeColor="text1"/>
          <w:kern w:val="0"/>
          <w:position w:val="0"/>
          <w:sz w:val="32"/>
          <w:szCs w:val="32"/>
          <w:highlight w:val="none"/>
          <w:lang w:val="zh-CN" w:eastAsia="zh-CN" w:bidi="ar-SA"/>
          <w14:textFill>
            <w14:solidFill>
              <w14:schemeClr w14:val="tx1"/>
            </w14:solidFill>
          </w14:textFill>
        </w:rPr>
      </w:pPr>
    </w:p>
    <w:p w14:paraId="61EAFEDF">
      <w:pPr>
        <w:pStyle w:val="20"/>
        <w:rPr>
          <w:rFonts w:hint="eastAsia" w:ascii="Times New Roman" w:hAnsi="Times New Roman" w:eastAsia="仿宋_GB2312" w:cs="仿宋_GB2312"/>
          <w:b w:val="0"/>
          <w:bCs w:val="0"/>
          <w:color w:val="000000" w:themeColor="text1"/>
          <w:kern w:val="0"/>
          <w:position w:val="0"/>
          <w:sz w:val="32"/>
          <w:szCs w:val="32"/>
          <w:highlight w:val="none"/>
          <w:lang w:val="zh-CN" w:eastAsia="zh-CN" w:bidi="ar-SA"/>
          <w14:textFill>
            <w14:solidFill>
              <w14:schemeClr w14:val="tx1"/>
            </w14:solidFill>
          </w14:textFill>
        </w:rPr>
      </w:pPr>
    </w:p>
    <w:p w14:paraId="7E8B8B66">
      <w:pPr>
        <w:rPr>
          <w:rFonts w:hint="eastAsia" w:ascii="Times New Roman" w:hAnsi="Times New Roman" w:eastAsia="仿宋_GB2312" w:cs="仿宋_GB2312"/>
          <w:b w:val="0"/>
          <w:bCs w:val="0"/>
          <w:color w:val="000000" w:themeColor="text1"/>
          <w:kern w:val="0"/>
          <w:position w:val="0"/>
          <w:sz w:val="32"/>
          <w:szCs w:val="32"/>
          <w:highlight w:val="none"/>
          <w:lang w:val="zh-CN" w:eastAsia="zh-CN" w:bidi="ar-SA"/>
          <w14:textFill>
            <w14:solidFill>
              <w14:schemeClr w14:val="tx1"/>
            </w14:solidFill>
          </w14:textFill>
        </w:rPr>
      </w:pPr>
    </w:p>
    <w:p w14:paraId="3AD29268">
      <w:pPr>
        <w:pStyle w:val="20"/>
        <w:rPr>
          <w:rFonts w:hint="eastAsia" w:ascii="Times New Roman" w:hAnsi="Times New Roman" w:eastAsia="仿宋_GB2312" w:cs="仿宋_GB2312"/>
          <w:b w:val="0"/>
          <w:bCs w:val="0"/>
          <w:color w:val="000000" w:themeColor="text1"/>
          <w:kern w:val="0"/>
          <w:position w:val="0"/>
          <w:sz w:val="32"/>
          <w:szCs w:val="32"/>
          <w:highlight w:val="none"/>
          <w:lang w:val="zh-CN" w:eastAsia="zh-CN" w:bidi="ar-SA"/>
          <w14:textFill>
            <w14:solidFill>
              <w14:schemeClr w14:val="tx1"/>
            </w14:solidFill>
          </w14:textFill>
        </w:rPr>
      </w:pPr>
    </w:p>
    <w:p w14:paraId="3A49EDEF">
      <w:pPr>
        <w:rPr>
          <w:rFonts w:hint="eastAsia" w:ascii="Times New Roman" w:hAnsi="Times New Roman" w:eastAsia="仿宋_GB2312" w:cs="仿宋_GB2312"/>
          <w:b w:val="0"/>
          <w:bCs w:val="0"/>
          <w:color w:val="000000" w:themeColor="text1"/>
          <w:kern w:val="0"/>
          <w:position w:val="0"/>
          <w:sz w:val="32"/>
          <w:szCs w:val="32"/>
          <w:highlight w:val="none"/>
          <w:lang w:val="zh-CN" w:eastAsia="zh-CN" w:bidi="ar-SA"/>
          <w14:textFill>
            <w14:solidFill>
              <w14:schemeClr w14:val="tx1"/>
            </w14:solidFill>
          </w14:textFill>
        </w:rPr>
      </w:pPr>
    </w:p>
    <w:p w14:paraId="4DE9B8F6">
      <w:pPr>
        <w:pStyle w:val="20"/>
        <w:rPr>
          <w:rFonts w:hint="eastAsia" w:ascii="Times New Roman" w:hAnsi="Times New Roman" w:eastAsia="仿宋_GB2312" w:cs="仿宋_GB2312"/>
          <w:b w:val="0"/>
          <w:bCs w:val="0"/>
          <w:color w:val="000000" w:themeColor="text1"/>
          <w:kern w:val="0"/>
          <w:position w:val="0"/>
          <w:sz w:val="32"/>
          <w:szCs w:val="32"/>
          <w:highlight w:val="none"/>
          <w:lang w:val="zh-CN" w:eastAsia="zh-CN" w:bidi="ar-SA"/>
          <w14:textFill>
            <w14:solidFill>
              <w14:schemeClr w14:val="tx1"/>
            </w14:solidFill>
          </w14:textFill>
        </w:rPr>
      </w:pPr>
    </w:p>
    <w:p w14:paraId="6EDCFAE1">
      <w:pPr>
        <w:rPr>
          <w:rFonts w:hint="eastAsia" w:ascii="Times New Roman" w:hAnsi="Times New Roman" w:eastAsia="仿宋_GB2312" w:cs="仿宋_GB2312"/>
          <w:b w:val="0"/>
          <w:bCs w:val="0"/>
          <w:color w:val="000000" w:themeColor="text1"/>
          <w:kern w:val="0"/>
          <w:position w:val="0"/>
          <w:sz w:val="32"/>
          <w:szCs w:val="32"/>
          <w:highlight w:val="none"/>
          <w:lang w:val="zh-CN" w:eastAsia="zh-CN" w:bidi="ar-SA"/>
          <w14:textFill>
            <w14:solidFill>
              <w14:schemeClr w14:val="tx1"/>
            </w14:solidFill>
          </w14:textFill>
        </w:rPr>
      </w:pPr>
    </w:p>
    <w:p w14:paraId="7E407E2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000000" w:themeColor="text1"/>
          <w:kern w:val="0"/>
          <w:position w:val="0"/>
          <w:sz w:val="32"/>
          <w:szCs w:val="32"/>
          <w:highlight w:val="none"/>
          <w:lang w:val="en-US" w:eastAsia="zh-CN" w:bidi="ar-SA"/>
          <w14:textFill>
            <w14:solidFill>
              <w14:schemeClr w14:val="tx1"/>
            </w14:solidFill>
          </w14:textFill>
        </w:rPr>
      </w:pPr>
      <w:bookmarkStart w:id="73" w:name="_Toc15396618"/>
    </w:p>
    <w:p w14:paraId="4376823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000000" w:themeColor="text1"/>
          <w:kern w:val="0"/>
          <w:position w:val="0"/>
          <w:sz w:val="32"/>
          <w:szCs w:val="32"/>
          <w:highlight w:val="none"/>
          <w:lang w:val="en-US" w:eastAsia="zh-CN" w:bidi="ar-SA"/>
          <w14:textFill>
            <w14:solidFill>
              <w14:schemeClr w14:val="tx1"/>
            </w14:solidFill>
          </w14:textFill>
        </w:rPr>
      </w:pPr>
    </w:p>
    <w:p w14:paraId="4455A774">
      <w:pPr>
        <w:rPr>
          <w:rFonts w:hint="eastAsia" w:ascii="Times New Roman" w:hAnsi="Times New Roman" w:eastAsia="黑体" w:cs="黑体"/>
          <w:color w:val="000000" w:themeColor="text1"/>
          <w:kern w:val="0"/>
          <w:sz w:val="32"/>
          <w:szCs w:val="32"/>
          <w:highlight w:val="none"/>
          <w:shd w:val="clear" w:color="auto" w:fill="FFFFFF"/>
          <w:lang w:val="en-US" w:eastAsia="zh-CN"/>
          <w14:textFill>
            <w14:solidFill>
              <w14:schemeClr w14:val="tx1"/>
            </w14:solidFill>
          </w14:textFill>
        </w:rPr>
      </w:pPr>
    </w:p>
    <w:p w14:paraId="51F004EA">
      <w:pPr>
        <w:rPr>
          <w:rFonts w:hint="eastAsia" w:ascii="黑体" w:hAnsi="黑体" w:eastAsia="黑体" w:cs="黑体"/>
          <w:color w:val="000000" w:themeColor="text1"/>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shd w:val="clear" w:color="auto" w:fill="FFFFFF"/>
          <w:lang w:val="en-US" w:eastAsia="zh-CN"/>
          <w14:textFill>
            <w14:solidFill>
              <w14:schemeClr w14:val="tx1"/>
            </w14:solidFill>
          </w14:textFill>
        </w:rPr>
        <w:t>附件3</w:t>
      </w:r>
    </w:p>
    <w:p w14:paraId="5EF512B0">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bidi="ar"/>
        </w:rPr>
        <w:t>广元市统计局</w:t>
      </w:r>
    </w:p>
    <w:p w14:paraId="05275EBD">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bidi="ar"/>
        </w:rPr>
        <w:t>第五次全国经济普查经费预算绩效</w:t>
      </w:r>
    </w:p>
    <w:p w14:paraId="6233B637">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spacing w:val="17"/>
          <w:kern w:val="0"/>
          <w:sz w:val="44"/>
          <w:szCs w:val="44"/>
          <w:lang w:val="en-US" w:eastAsia="zh-CN" w:bidi="ar"/>
        </w:rPr>
        <w:t xml:space="preserve">自 评 报 </w:t>
      </w:r>
      <w:r>
        <w:rPr>
          <w:rFonts w:hint="eastAsia" w:ascii="方正小标宋简体" w:hAnsi="方正小标宋简体" w:eastAsia="方正小标宋简体" w:cs="方正小标宋简体"/>
          <w:color w:val="000000"/>
          <w:kern w:val="0"/>
          <w:sz w:val="44"/>
          <w:szCs w:val="44"/>
          <w:lang w:val="en-US" w:eastAsia="zh-CN" w:bidi="ar"/>
        </w:rPr>
        <w:t>告</w:t>
      </w:r>
    </w:p>
    <w:p w14:paraId="02014058">
      <w:pPr>
        <w:keepNext w:val="0"/>
        <w:keepLines w:val="0"/>
        <w:widowControl w:val="0"/>
        <w:suppressLineNumbers w:val="0"/>
        <w:adjustRightInd w:val="0"/>
        <w:snapToGrid w:val="0"/>
        <w:spacing w:before="0" w:beforeAutospacing="0" w:after="0" w:afterAutospacing="0" w:line="576" w:lineRule="exact"/>
        <w:ind w:left="0" w:right="0"/>
        <w:jc w:val="both"/>
        <w:rPr>
          <w:rFonts w:hint="default" w:ascii="仿宋" w:hAnsi="仿宋" w:eastAsia="仿宋" w:cs="仿宋"/>
          <w:kern w:val="2"/>
          <w:sz w:val="32"/>
          <w:szCs w:val="32"/>
          <w:lang w:val="en-US" w:eastAsia="zh-CN" w:bidi="ar"/>
        </w:rPr>
      </w:pPr>
    </w:p>
    <w:p w14:paraId="546ADC4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6" w:lineRule="exact"/>
        <w:ind w:left="0" w:right="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市财政局：</w:t>
      </w:r>
    </w:p>
    <w:p w14:paraId="59C02839">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结合《广元市财政局关于开展市级部门预算绩效自评工作的通知》（广财绩〔2025〕4号）精神，我局及时组织力量，圆满完成了第五次全国经济普查项目支出绩效评价自评工作，现将自评情况报告如下：</w:t>
      </w:r>
    </w:p>
    <w:p w14:paraId="4D42995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一、项目概况</w:t>
      </w:r>
    </w:p>
    <w:p w14:paraId="1CF5C5E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楷体" w:hAnsi="楷体" w:eastAsia="楷体" w:cs="楷体"/>
          <w:kern w:val="2"/>
          <w:sz w:val="32"/>
          <w:szCs w:val="32"/>
          <w:lang w:val="en-US" w:eastAsia="zh-CN" w:bidi="ar"/>
        </w:rPr>
        <w:t>（一）设立背景及基本情况。</w:t>
      </w:r>
      <w:r>
        <w:rPr>
          <w:rFonts w:hint="eastAsia" w:ascii="仿宋" w:hAnsi="仿宋" w:eastAsia="仿宋" w:cs="仿宋"/>
          <w:kern w:val="2"/>
          <w:sz w:val="32"/>
          <w:szCs w:val="32"/>
          <w:lang w:val="en-US" w:eastAsia="zh-CN" w:bidi="ar"/>
        </w:rPr>
        <w:t>按照《中华人民共和国统计法》和《全国经济普查条例》规定，我国于2023年开始开展第五次全国经济普查（以下简称五经普）。</w:t>
      </w:r>
      <w:r>
        <w:rPr>
          <w:rFonts w:hint="eastAsia" w:ascii="仿宋" w:hAnsi="仿宋" w:eastAsia="仿宋" w:cs="仿宋"/>
          <w:spacing w:val="-6"/>
          <w:kern w:val="2"/>
          <w:sz w:val="32"/>
          <w:szCs w:val="32"/>
          <w:lang w:val="en-US" w:eastAsia="zh-CN" w:bidi="ar"/>
        </w:rPr>
        <w:t>“</w:t>
      </w:r>
      <w:r>
        <w:rPr>
          <w:rFonts w:hint="eastAsia" w:ascii="仿宋" w:hAnsi="仿宋" w:eastAsia="仿宋" w:cs="仿宋"/>
          <w:kern w:val="2"/>
          <w:sz w:val="32"/>
          <w:szCs w:val="32"/>
          <w:lang w:val="en-US" w:eastAsia="zh-CN" w:bidi="ar"/>
        </w:rPr>
        <w:t>五经普</w:t>
      </w:r>
      <w:r>
        <w:rPr>
          <w:rFonts w:hint="eastAsia" w:ascii="仿宋" w:hAnsi="仿宋" w:eastAsia="仿宋" w:cs="仿宋"/>
          <w:spacing w:val="-6"/>
          <w:kern w:val="2"/>
          <w:sz w:val="32"/>
          <w:szCs w:val="32"/>
          <w:lang w:val="en-US" w:eastAsia="zh-CN" w:bidi="ar"/>
        </w:rPr>
        <w:t>”是重大国情国力调查，全面调查我市第二产业和第三产业发展规模、布局和效益，摸清各类单位基本情况，掌握国民经济行业间经济联系，是对经济社会发展情况的一次“全面体检”，客观反映我市经济社会发展状况。通过普查进一步夯实统计基础，推进统计现代化改革，为加强和改善宏观经济治理、科学制定中长期发展规划，提供科学准确的统计信息支持，事关强国建设和高质量发展全局。</w:t>
      </w:r>
      <w:r>
        <w:rPr>
          <w:rFonts w:hint="eastAsia" w:ascii="仿宋" w:hAnsi="仿宋" w:eastAsia="仿宋" w:cs="仿宋"/>
          <w:kern w:val="2"/>
          <w:sz w:val="32"/>
          <w:szCs w:val="32"/>
          <w:lang w:val="en-US" w:eastAsia="zh-CN" w:bidi="ar"/>
        </w:rPr>
        <w:t>五经普首次统</w:t>
      </w:r>
    </w:p>
    <w:p w14:paraId="382FBEAE">
      <w:pPr>
        <w:pStyle w:val="2"/>
        <w:keepNext w:val="0"/>
        <w:keepLines w:val="0"/>
        <w:pageBreakBefore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lang w:val="en-US" w:eastAsia="zh-CN"/>
        </w:rPr>
      </w:pPr>
      <w:r>
        <w:rPr>
          <w:rFonts w:hint="eastAsia" w:ascii="仿宋" w:hAnsi="仿宋" w:eastAsia="仿宋" w:cs="仿宋"/>
          <w:kern w:val="2"/>
          <w:sz w:val="32"/>
          <w:szCs w:val="32"/>
          <w:lang w:val="en-US" w:eastAsia="zh-CN" w:bidi="ar"/>
        </w:rPr>
        <w:t>筹开展投入产出调查，调查内容增多、技术和安全要求提高、工</w:t>
      </w:r>
    </w:p>
    <w:p w14:paraId="58B379D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 w:hAnsi="仿宋" w:eastAsia="仿宋" w:cs="仿宋"/>
          <w:kern w:val="0"/>
          <w:sz w:val="32"/>
          <w:szCs w:val="32"/>
          <w:shd w:val="clear" w:fill="FFFFFF"/>
        </w:rPr>
      </w:pPr>
      <w:r>
        <w:rPr>
          <w:rFonts w:hint="eastAsia" w:ascii="仿宋" w:hAnsi="仿宋" w:eastAsia="仿宋" w:cs="仿宋"/>
          <w:kern w:val="2"/>
          <w:sz w:val="32"/>
          <w:szCs w:val="32"/>
          <w:lang w:val="en-US" w:eastAsia="zh-CN" w:bidi="ar"/>
        </w:rPr>
        <w:t>作难度加大，对人员、经费等保障工作提出了更高要求。</w:t>
      </w:r>
    </w:p>
    <w:p w14:paraId="42499D5B">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仿宋" w:hAnsi="仿宋" w:eastAsia="仿宋" w:cs="仿宋"/>
          <w:kern w:val="2"/>
          <w:sz w:val="32"/>
          <w:szCs w:val="32"/>
        </w:rPr>
      </w:pPr>
      <w:r>
        <w:rPr>
          <w:rFonts w:hint="eastAsia" w:ascii="楷体" w:hAnsi="楷体" w:eastAsia="楷体" w:cs="楷体"/>
          <w:kern w:val="2"/>
          <w:sz w:val="32"/>
          <w:szCs w:val="32"/>
          <w:lang w:val="en-US" w:eastAsia="zh-CN" w:bidi="ar"/>
        </w:rPr>
        <w:t>（二）实施目的及支持方向。</w:t>
      </w:r>
      <w:r>
        <w:rPr>
          <w:rFonts w:hint="eastAsia" w:ascii="仿宋" w:hAnsi="仿宋" w:eastAsia="仿宋" w:cs="仿宋"/>
          <w:kern w:val="2"/>
          <w:sz w:val="32"/>
          <w:szCs w:val="32"/>
          <w:lang w:val="en-US" w:eastAsia="zh-CN" w:bidi="ar"/>
        </w:rPr>
        <w:t>为顺利保障广元市第五次全国经济普查相关工作的开展，“五经普”专项工作经费由中央和地方各级人民政府共同负担，并列入相应年度的财政预算，积极争取本级财政部门的支持，科学合理、实事求是的编制普查经费预算，确保经费按时拨付，足额到位。同时坚持贯彻落实中央“过紧日子”要求，本着厉行节约、精打细算、专款专用、提高资金使用效率的原则，严格执行国家统计局和财政部联合制定的《统计部门周期性普查和大型调查经费开支规定》（国统字〔2003〕74号）,切实提高预算编制的科学性和准确性。</w:t>
      </w:r>
    </w:p>
    <w:p w14:paraId="076FCF1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kern w:val="0"/>
          <w:sz w:val="32"/>
          <w:szCs w:val="32"/>
          <w:shd w:val="clear" w:fill="FFFFFF"/>
        </w:rPr>
      </w:pPr>
      <w:r>
        <w:rPr>
          <w:rFonts w:hint="eastAsia" w:ascii="楷体" w:hAnsi="楷体" w:eastAsia="楷体" w:cs="楷体"/>
          <w:kern w:val="2"/>
          <w:sz w:val="32"/>
          <w:szCs w:val="32"/>
          <w:lang w:val="en-US" w:eastAsia="zh-CN" w:bidi="ar"/>
        </w:rPr>
        <w:t>（三）预算安排及分配管理。</w:t>
      </w:r>
      <w:r>
        <w:rPr>
          <w:rFonts w:hint="eastAsia" w:ascii="仿宋" w:hAnsi="仿宋" w:eastAsia="仿宋" w:cs="仿宋"/>
          <w:kern w:val="2"/>
          <w:sz w:val="32"/>
          <w:szCs w:val="32"/>
          <w:lang w:val="en-US" w:eastAsia="zh-CN" w:bidi="ar"/>
        </w:rPr>
        <w:t>第五次全国经济普查是从2023年开始实施的三年经费预算，三年总预算为300万元，分别为2023年150万，</w:t>
      </w:r>
      <w:r>
        <w:rPr>
          <w:rFonts w:hint="eastAsia" w:ascii="仿宋" w:hAnsi="仿宋" w:eastAsia="仿宋" w:cs="仿宋"/>
          <w:color w:val="000000" w:themeColor="text1"/>
          <w:kern w:val="2"/>
          <w:sz w:val="32"/>
          <w:szCs w:val="32"/>
          <w:lang w:val="en-US" w:eastAsia="zh-CN" w:bidi="ar"/>
          <w14:textFill>
            <w14:solidFill>
              <w14:schemeClr w14:val="tx1"/>
            </w14:solidFill>
          </w14:textFill>
        </w:rPr>
        <w:t>2024年110万元，2025</w:t>
      </w:r>
      <w:r>
        <w:rPr>
          <w:rFonts w:hint="eastAsia" w:ascii="仿宋" w:hAnsi="仿宋" w:eastAsia="仿宋" w:cs="仿宋"/>
          <w:kern w:val="2"/>
          <w:sz w:val="32"/>
          <w:szCs w:val="32"/>
          <w:lang w:val="en-US" w:eastAsia="zh-CN" w:bidi="ar"/>
        </w:rPr>
        <w:t>年40万元。</w:t>
      </w:r>
      <w:r>
        <w:rPr>
          <w:rFonts w:hint="eastAsia" w:ascii="仿宋" w:hAnsi="仿宋" w:eastAsia="仿宋" w:cs="仿宋"/>
          <w:kern w:val="0"/>
          <w:sz w:val="32"/>
          <w:szCs w:val="32"/>
          <w:shd w:val="clear" w:fill="FFFFFF"/>
          <w:lang w:val="en-US" w:eastAsia="zh-CN" w:bidi="ar"/>
        </w:rPr>
        <w:t>项目资金都为市本级根据年度工作计划安排，不存在分配资金等情况。</w:t>
      </w:r>
    </w:p>
    <w:p w14:paraId="122A112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kern w:val="0"/>
          <w:sz w:val="32"/>
          <w:szCs w:val="32"/>
          <w:shd w:val="clear" w:fill="FFFFFF"/>
        </w:rPr>
      </w:pPr>
      <w:r>
        <w:rPr>
          <w:rFonts w:hint="eastAsia" w:ascii="楷体" w:hAnsi="楷体" w:eastAsia="楷体" w:cs="楷体"/>
          <w:kern w:val="2"/>
          <w:sz w:val="32"/>
          <w:szCs w:val="32"/>
          <w:lang w:val="en-US" w:eastAsia="zh-CN" w:bidi="ar"/>
        </w:rPr>
        <w:t>（四）项目绩效目标设置。</w:t>
      </w:r>
      <w:r>
        <w:rPr>
          <w:rFonts w:hint="eastAsia" w:ascii="仿宋" w:hAnsi="仿宋" w:eastAsia="仿宋" w:cs="仿宋"/>
          <w:kern w:val="2"/>
          <w:sz w:val="32"/>
          <w:szCs w:val="32"/>
          <w:lang w:val="en-US" w:eastAsia="zh-CN" w:bidi="ar"/>
        </w:rPr>
        <w:t>本</w:t>
      </w:r>
      <w:r>
        <w:rPr>
          <w:rFonts w:hint="eastAsia" w:ascii="仿宋" w:hAnsi="仿宋" w:eastAsia="仿宋" w:cs="仿宋"/>
          <w:kern w:val="0"/>
          <w:sz w:val="32"/>
          <w:szCs w:val="32"/>
          <w:shd w:val="clear" w:fill="FFFFFF"/>
          <w:lang w:val="en-US" w:eastAsia="zh-CN" w:bidi="ar"/>
        </w:rPr>
        <w:t>项目分年度根据工作安排开展绩效目标设置，每年按规定开展绩效监控，绩效自评等工作，2024年度项目预算资金110万元，设置了一级指标4个、二级指标8个、三级指标13个。</w:t>
      </w:r>
    </w:p>
    <w:p w14:paraId="423EDCD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二、评价实施</w:t>
      </w:r>
    </w:p>
    <w:p w14:paraId="6DCBAD59">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jc w:val="both"/>
        <w:textAlignment w:val="auto"/>
        <w:rPr>
          <w:rFonts w:hint="eastAsia" w:ascii="仿宋" w:hAnsi="仿宋" w:eastAsia="仿宋" w:cs="仿宋"/>
          <w:kern w:val="2"/>
          <w:sz w:val="32"/>
          <w:szCs w:val="32"/>
        </w:rPr>
      </w:pPr>
      <w:r>
        <w:rPr>
          <w:rFonts w:hint="eastAsia" w:ascii="楷体" w:hAnsi="楷体" w:eastAsia="楷体" w:cs="楷体"/>
          <w:kern w:val="2"/>
          <w:sz w:val="32"/>
          <w:szCs w:val="32"/>
          <w:lang w:val="en-US" w:eastAsia="zh-CN" w:bidi="ar"/>
        </w:rPr>
        <w:t>（一）评价目的。</w:t>
      </w:r>
      <w:r>
        <w:rPr>
          <w:rFonts w:hint="eastAsia" w:ascii="仿宋" w:hAnsi="仿宋" w:eastAsia="仿宋" w:cs="仿宋"/>
          <w:kern w:val="2"/>
          <w:sz w:val="32"/>
          <w:szCs w:val="32"/>
          <w:lang w:val="en-US" w:eastAsia="zh-CN" w:bidi="ar"/>
        </w:rPr>
        <w:t>通过项目绩效自评实现严格预算管理，科学设置绩效指标，确保预算执行绩效水平，确保普查经费专款专用、合理合规，充分发挥普查工作效益。</w:t>
      </w:r>
    </w:p>
    <w:p w14:paraId="4467419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kern w:val="2"/>
          <w:sz w:val="32"/>
          <w:szCs w:val="32"/>
        </w:rPr>
      </w:pPr>
      <w:r>
        <w:rPr>
          <w:rFonts w:hint="eastAsia" w:ascii="楷体" w:hAnsi="楷体" w:eastAsia="楷体" w:cs="楷体"/>
          <w:kern w:val="2"/>
          <w:sz w:val="32"/>
          <w:szCs w:val="32"/>
          <w:lang w:val="en-US" w:eastAsia="zh-CN" w:bidi="ar"/>
        </w:rPr>
        <w:t>（二）预设问题及评价重点。</w:t>
      </w:r>
      <w:r>
        <w:rPr>
          <w:rFonts w:hint="eastAsia" w:ascii="仿宋" w:hAnsi="仿宋" w:eastAsia="仿宋" w:cs="仿宋"/>
          <w:kern w:val="2"/>
          <w:sz w:val="32"/>
          <w:szCs w:val="32"/>
          <w:lang w:val="en-US" w:eastAsia="zh-CN" w:bidi="ar"/>
        </w:rPr>
        <w:t>按照绩效评价指标体系，对资金支出使用全过程及其实施效果进行综合评价和判断。</w:t>
      </w:r>
    </w:p>
    <w:p w14:paraId="37CC8EF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kern w:val="2"/>
          <w:sz w:val="32"/>
          <w:szCs w:val="32"/>
        </w:rPr>
      </w:pPr>
      <w:r>
        <w:rPr>
          <w:rFonts w:hint="eastAsia" w:ascii="楷体" w:hAnsi="楷体" w:eastAsia="楷体" w:cs="楷体"/>
          <w:kern w:val="2"/>
          <w:sz w:val="32"/>
          <w:szCs w:val="32"/>
          <w:lang w:val="en-US" w:eastAsia="zh-CN" w:bidi="ar"/>
        </w:rPr>
        <w:t>（三）评价选点。</w:t>
      </w:r>
      <w:r>
        <w:rPr>
          <w:rFonts w:hint="eastAsia" w:ascii="仿宋" w:hAnsi="仿宋" w:eastAsia="仿宋" w:cs="仿宋"/>
          <w:kern w:val="2"/>
          <w:sz w:val="32"/>
          <w:szCs w:val="32"/>
          <w:lang w:val="en-US" w:eastAsia="zh-CN" w:bidi="ar"/>
        </w:rPr>
        <w:t>“五经普”项目资金为市本级普查各阶段工作经费，不涉及分配至县区，不存在抽样点位。</w:t>
      </w:r>
    </w:p>
    <w:p w14:paraId="07E01D46">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jc w:val="both"/>
        <w:textAlignment w:val="auto"/>
        <w:rPr>
          <w:rFonts w:hint="eastAsia" w:ascii="仿宋" w:hAnsi="仿宋" w:eastAsia="仿宋" w:cs="仿宋"/>
          <w:kern w:val="2"/>
          <w:sz w:val="32"/>
          <w:szCs w:val="32"/>
        </w:rPr>
      </w:pPr>
      <w:r>
        <w:rPr>
          <w:rFonts w:hint="eastAsia" w:ascii="楷体" w:hAnsi="楷体" w:eastAsia="楷体" w:cs="楷体"/>
          <w:kern w:val="2"/>
          <w:sz w:val="32"/>
          <w:szCs w:val="32"/>
          <w:lang w:val="en-US" w:eastAsia="zh-CN" w:bidi="ar"/>
        </w:rPr>
        <w:t>（四）评价方法。</w:t>
      </w:r>
      <w:r>
        <w:rPr>
          <w:rFonts w:hint="eastAsia" w:ascii="仿宋" w:hAnsi="仿宋" w:eastAsia="仿宋" w:cs="仿宋"/>
          <w:kern w:val="2"/>
          <w:sz w:val="32"/>
          <w:szCs w:val="32"/>
          <w:lang w:val="en-US" w:eastAsia="zh-CN" w:bidi="ar"/>
        </w:rPr>
        <w:t>根据项目情况和评价重点，我局采取成本效益分析法、单位自评法等多种方法开展自评。</w:t>
      </w:r>
    </w:p>
    <w:p w14:paraId="1D77084B">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jc w:val="both"/>
        <w:textAlignment w:val="auto"/>
        <w:rPr>
          <w:rFonts w:hint="eastAsia" w:ascii="仿宋" w:hAnsi="仿宋" w:eastAsia="仿宋" w:cs="仿宋"/>
          <w:kern w:val="2"/>
          <w:sz w:val="32"/>
          <w:szCs w:val="32"/>
        </w:rPr>
      </w:pPr>
      <w:r>
        <w:rPr>
          <w:rFonts w:hint="eastAsia" w:ascii="楷体" w:hAnsi="楷体" w:eastAsia="楷体" w:cs="楷体"/>
          <w:kern w:val="2"/>
          <w:sz w:val="32"/>
          <w:szCs w:val="32"/>
          <w:lang w:val="en-US" w:eastAsia="zh-CN" w:bidi="ar"/>
        </w:rPr>
        <w:t>（五）评价组织。</w:t>
      </w:r>
      <w:r>
        <w:rPr>
          <w:rFonts w:hint="eastAsia" w:ascii="仿宋" w:hAnsi="仿宋" w:eastAsia="仿宋" w:cs="仿宋"/>
          <w:kern w:val="2"/>
          <w:sz w:val="32"/>
          <w:szCs w:val="32"/>
          <w:lang w:val="en-US" w:eastAsia="zh-CN" w:bidi="ar"/>
        </w:rPr>
        <w:t>第五次全国经济普查经费预算绩效评价组人员构成为市统计局部门预算绩效管理领导小组成员。</w:t>
      </w:r>
    </w:p>
    <w:p w14:paraId="1EEA834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三、绩效分析</w:t>
      </w:r>
      <w:r>
        <w:rPr>
          <w:rFonts w:hint="eastAsia" w:ascii="黑体" w:hAnsi="黑体" w:eastAsia="黑体" w:cs="黑体"/>
          <w:kern w:val="2"/>
          <w:sz w:val="32"/>
          <w:szCs w:val="32"/>
          <w:lang w:val="en-US" w:eastAsia="zh-CN" w:bidi="ar"/>
        </w:rPr>
        <w:tab/>
      </w:r>
    </w:p>
    <w:p w14:paraId="48D14D1F">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根据项目预算绩效评价指标体系“通用指标”“专用指标”“个性指标”涉及二、三级指标进行逐项绩效分析并评分。</w:t>
      </w:r>
    </w:p>
    <w:p w14:paraId="7A664281">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jc w:val="both"/>
        <w:textAlignment w:val="auto"/>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（一）通用指标</w:t>
      </w:r>
      <w:r>
        <w:rPr>
          <w:rFonts w:hint="eastAsia" w:ascii="楷体" w:hAnsi="楷体" w:eastAsia="楷体" w:cs="楷体"/>
          <w:kern w:val="0"/>
          <w:sz w:val="32"/>
          <w:szCs w:val="32"/>
          <w:shd w:val="clear" w:fill="FFFFFF"/>
          <w:lang w:val="en-US" w:eastAsia="zh-CN" w:bidi="ar"/>
        </w:rPr>
        <w:t>绩效分析。</w:t>
      </w:r>
    </w:p>
    <w:p w14:paraId="4E3B44B5">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1.项目决策。按照全国全省统一安排部署组织实施广元市第五次全国经济普查工作，普查经费由中央和地方分级负担。</w:t>
      </w:r>
    </w:p>
    <w:p w14:paraId="751D2283">
      <w:pPr>
        <w:keepNext w:val="0"/>
        <w:keepLines w:val="0"/>
        <w:pageBreakBefore w:val="0"/>
        <w:widowControl w:val="0"/>
        <w:suppressLineNumbers w:val="0"/>
        <w:kinsoku/>
        <w:wordWrap/>
        <w:overflowPunct/>
        <w:topLinePunct w:val="0"/>
        <w:autoSpaceDE/>
        <w:autoSpaceDN/>
        <w:bidi w:val="0"/>
        <w:adjustRightInd w:val="0"/>
        <w:spacing w:beforeAutospacing="0" w:afterAutospacing="0" w:line="560" w:lineRule="exact"/>
        <w:ind w:left="0" w:right="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2.项目管理。一是按要求规范了《广元市内部控制制度汇编》，保障了专项资金使用用途、程序、标准的合规性。二是严把绩效管理的过程监管，确保预算资金专款专用。</w:t>
      </w:r>
    </w:p>
    <w:p w14:paraId="04BD8874">
      <w:pPr>
        <w:keepNext w:val="0"/>
        <w:keepLines w:val="0"/>
        <w:pageBreakBefore w:val="0"/>
        <w:widowControl/>
        <w:suppressLineNumbers w:val="0"/>
        <w:kinsoku/>
        <w:wordWrap/>
        <w:overflowPunct/>
        <w:topLinePunct w:val="0"/>
        <w:autoSpaceDE/>
        <w:autoSpaceDN/>
        <w:bidi w:val="0"/>
        <w:spacing w:beforeAutospacing="0" w:afterAutospacing="0" w:line="560" w:lineRule="exact"/>
        <w:ind w:right="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3.项目实施。五经普2024年度工作经费年初预算110万元，截止决算，项目经费执行率达100%，普查的主要内容包括普查对象基本情况、组织结构、人员工资、生产能力、财务状况、生产经营、能源生产和消费、固定资产投资、研发活动、信息通信技术应用和数字化转型情况、数字经济活动、投入产出情况等。</w:t>
      </w:r>
      <w:r>
        <w:rPr>
          <w:rFonts w:hint="eastAsia" w:ascii="仿宋" w:hAnsi="仿宋" w:eastAsia="仿宋" w:cs="仿宋"/>
          <w:spacing w:val="-6"/>
          <w:kern w:val="2"/>
          <w:sz w:val="32"/>
          <w:szCs w:val="32"/>
          <w:lang w:val="en-US" w:eastAsia="zh-CN" w:bidi="ar"/>
        </w:rPr>
        <w:t>2024年普查已完成普查登记，普查数据检查、审核与验收，普查数据质量抽查，普查数据汇总与评估，开展普查总结等相关工作</w:t>
      </w:r>
      <w:r>
        <w:rPr>
          <w:rFonts w:hint="eastAsia" w:ascii="仿宋" w:hAnsi="仿宋" w:eastAsia="仿宋" w:cs="仿宋"/>
          <w:kern w:val="2"/>
          <w:sz w:val="32"/>
          <w:szCs w:val="32"/>
          <w:lang w:val="en-US" w:eastAsia="zh-CN" w:bidi="ar"/>
        </w:rPr>
        <w:t>。</w:t>
      </w:r>
    </w:p>
    <w:p w14:paraId="34C284A1">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4.项目结果。一是我局2024年高质量完成普查登记、事后质量抽查、汇总评估及省级普查课题试点工作。二是全市共普查登记从事第二产业和第三产业活动的法人单位29592个，比四经普增加9285个，增长率45.7%。产业活动单位</w:t>
      </w:r>
      <w:r>
        <w:rPr>
          <w:rFonts w:hint="eastAsia" w:ascii="仿宋" w:hAnsi="仿宋" w:eastAsia="仿宋" w:cs="仿宋"/>
          <w:color w:val="0C0C0C"/>
          <w:kern w:val="2"/>
          <w:sz w:val="32"/>
          <w:szCs w:val="32"/>
          <w:lang w:val="en-US" w:eastAsia="zh-CN" w:bidi="ar"/>
        </w:rPr>
        <w:t>34945个，增加9271个，增长36.1%；个体经营户164334个，增加</w:t>
      </w:r>
      <w:r>
        <w:rPr>
          <w:rFonts w:hint="eastAsia" w:ascii="仿宋" w:hAnsi="仿宋" w:eastAsia="仿宋" w:cs="仿宋"/>
          <w:color w:val="000000"/>
          <w:kern w:val="2"/>
          <w:sz w:val="32"/>
          <w:szCs w:val="32"/>
          <w:lang w:val="en-US" w:eastAsia="zh-CN" w:bidi="ar"/>
        </w:rPr>
        <w:t>24146个，增长17.2%。</w:t>
      </w:r>
      <w:r>
        <w:rPr>
          <w:rFonts w:hint="eastAsia" w:ascii="仿宋" w:hAnsi="仿宋" w:eastAsia="仿宋" w:cs="仿宋"/>
          <w:kern w:val="2"/>
          <w:sz w:val="32"/>
          <w:szCs w:val="32"/>
          <w:lang w:val="en-US" w:eastAsia="zh-CN" w:bidi="ar"/>
        </w:rPr>
        <w:t>三是积极承接五经普资料开发应用试点课题“一套表调查单位地理信息常态化维护更新研究”，积极探索，做好试点工作平台问题收集，及时反馈，归纳总结，形成可复制、可推广的广元经验，最大限度挖掘普查数据价值，试点工作得到省经普办高度认可。</w:t>
      </w:r>
    </w:p>
    <w:p w14:paraId="1687C117">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仿宋" w:hAnsi="仿宋" w:eastAsia="仿宋" w:cs="仿宋"/>
          <w:kern w:val="2"/>
          <w:sz w:val="32"/>
          <w:szCs w:val="32"/>
        </w:rPr>
      </w:pPr>
      <w:r>
        <w:rPr>
          <w:rFonts w:hint="eastAsia" w:ascii="楷体" w:hAnsi="楷体" w:eastAsia="楷体" w:cs="楷体"/>
          <w:kern w:val="2"/>
          <w:sz w:val="32"/>
          <w:szCs w:val="32"/>
          <w:lang w:val="en-US" w:eastAsia="zh-CN" w:bidi="ar"/>
        </w:rPr>
        <w:t>（二）专用指标</w:t>
      </w:r>
      <w:r>
        <w:rPr>
          <w:rFonts w:hint="eastAsia" w:ascii="楷体" w:hAnsi="楷体" w:eastAsia="楷体" w:cs="楷体"/>
          <w:kern w:val="0"/>
          <w:sz w:val="32"/>
          <w:szCs w:val="32"/>
          <w:shd w:val="clear" w:fill="FFFFFF"/>
          <w:lang w:val="en-US" w:eastAsia="zh-CN" w:bidi="ar"/>
        </w:rPr>
        <w:t>绩效分析。</w:t>
      </w:r>
      <w:r>
        <w:rPr>
          <w:rFonts w:hint="eastAsia" w:ascii="仿宋" w:hAnsi="仿宋" w:eastAsia="仿宋" w:cs="仿宋"/>
          <w:kern w:val="2"/>
          <w:sz w:val="32"/>
          <w:szCs w:val="32"/>
          <w:lang w:val="en-US" w:eastAsia="zh-CN" w:bidi="ar"/>
        </w:rPr>
        <w:t>根据专项预算项目资金支持对象选择所属指标进行绩效分析。该项目不涉及产业发展、民生保障、基础设施等方面，属于专项业务经费。</w:t>
      </w:r>
    </w:p>
    <w:p w14:paraId="26C8D2A5">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五经普”专项资金严格按照《统计部门周期性普查和大型调查经费开支规定》（国统字〔2003〕74号）文件要求,按普查年度工作安排科学设置普查经费绩效指标，规范普查经费开支范围，确保普查工作经费支出合规、项目高效。</w:t>
      </w:r>
    </w:p>
    <w:p w14:paraId="67D64E53">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jc w:val="both"/>
        <w:textAlignment w:val="auto"/>
        <w:rPr>
          <w:rFonts w:hint="eastAsia" w:ascii="仿宋" w:hAnsi="仿宋" w:eastAsia="仿宋" w:cs="仿宋"/>
          <w:kern w:val="2"/>
          <w:sz w:val="32"/>
          <w:szCs w:val="32"/>
        </w:rPr>
      </w:pPr>
      <w:r>
        <w:rPr>
          <w:rFonts w:hint="eastAsia" w:ascii="楷体" w:hAnsi="楷体" w:eastAsia="楷体" w:cs="楷体"/>
          <w:kern w:val="2"/>
          <w:sz w:val="32"/>
          <w:szCs w:val="32"/>
          <w:lang w:val="en-US" w:eastAsia="zh-CN" w:bidi="ar"/>
        </w:rPr>
        <w:t>（三）个性指标</w:t>
      </w:r>
      <w:r>
        <w:rPr>
          <w:rFonts w:hint="eastAsia" w:ascii="楷体" w:hAnsi="楷体" w:eastAsia="楷体" w:cs="楷体"/>
          <w:kern w:val="0"/>
          <w:sz w:val="32"/>
          <w:szCs w:val="32"/>
          <w:shd w:val="clear" w:fill="FFFFFF"/>
          <w:lang w:val="en-US" w:eastAsia="zh-CN" w:bidi="ar"/>
        </w:rPr>
        <w:t>绩效分析。</w:t>
      </w:r>
      <w:r>
        <w:rPr>
          <w:rFonts w:hint="eastAsia" w:ascii="仿宋" w:hAnsi="仿宋" w:eastAsia="仿宋" w:cs="仿宋"/>
          <w:kern w:val="2"/>
          <w:sz w:val="32"/>
          <w:szCs w:val="32"/>
          <w:lang w:val="en-US" w:eastAsia="zh-CN" w:bidi="ar"/>
        </w:rPr>
        <w:t>根据项目个性自行设定部分指标，一是数量指标设置，经济普查入户登记推进会议、领导小组会议不少于8次，经济普查数据质量控制培训、数据质量评估培训、数据检查验收培训等各类业务培训不少于5次，电视台经普宣传、出租车顶滚动宣传等经济普查宣传不少于6次，分组分专业督查数据等数据审核工作不少于60人次。二是质量指标设置，完成经济普查2024年度正式入户登记、投入产出调查、预警预测普查数据，实行日监测、周调度、月分析制度督促指导各行业各县区开展登记工作。三是生态效益指标设置，通过普查进一步夯实统计基础，为加强和改善宏观经济管理，服务经济社会发展提供统计数据支持。四是满意度指标设置，普查结果得到国家、省统计局高度肯定，市委市政府满意，各级各部门充分认可。</w:t>
      </w:r>
    </w:p>
    <w:p w14:paraId="5810AC95">
      <w:pPr>
        <w:pStyle w:val="15"/>
        <w:keepNext w:val="0"/>
        <w:keepLines w:val="0"/>
        <w:pageBreakBefore w:val="0"/>
        <w:widowControl/>
        <w:suppressLineNumbers w:val="0"/>
        <w:tabs>
          <w:tab w:val="left" w:pos="2160"/>
        </w:tabs>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黑体" w:hAnsi="黑体" w:eastAsia="黑体" w:cs="黑体"/>
          <w:kern w:val="0"/>
          <w:position w:val="3"/>
          <w:sz w:val="32"/>
          <w:szCs w:val="32"/>
        </w:rPr>
      </w:pPr>
      <w:r>
        <w:rPr>
          <w:rFonts w:hint="eastAsia" w:ascii="黑体" w:hAnsi="黑体" w:eastAsia="黑体" w:cs="黑体"/>
          <w:kern w:val="0"/>
          <w:position w:val="3"/>
          <w:sz w:val="32"/>
          <w:szCs w:val="32"/>
          <w:lang w:val="en-US" w:eastAsia="zh-CN" w:bidi="ar"/>
        </w:rPr>
        <w:t>四、评价结论</w:t>
      </w:r>
    </w:p>
    <w:p w14:paraId="74E9A7F8">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我局该项目预算执行到位，做到了财务公开、会计核算真实、规范，没有截留、挪用财政资金、擅自扩大或缩小资金使用范围、改变资金用途等现象，未在项目申报中弄虚作假，套取财政资金，保证了专项资金专款专用，普查经费发挥了最大的经济效益，对照《部门项目支出绩效评价指标体系》，我局2024年第五次全国经济普查绩效自评得分99分。</w:t>
      </w:r>
    </w:p>
    <w:p w14:paraId="5B7A1A89">
      <w:pPr>
        <w:pStyle w:val="15"/>
        <w:keepNext w:val="0"/>
        <w:keepLines w:val="0"/>
        <w:pageBreakBefore w:val="0"/>
        <w:widowControl/>
        <w:suppressLineNumbers w:val="0"/>
        <w:tabs>
          <w:tab w:val="left" w:pos="2160"/>
        </w:tabs>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黑体" w:hAnsi="黑体" w:eastAsia="黑体" w:cs="黑体"/>
          <w:kern w:val="0"/>
          <w:position w:val="3"/>
          <w:sz w:val="32"/>
          <w:szCs w:val="32"/>
        </w:rPr>
      </w:pPr>
      <w:r>
        <w:rPr>
          <w:rFonts w:hint="eastAsia" w:ascii="黑体" w:hAnsi="黑体" w:eastAsia="黑体" w:cs="黑体"/>
          <w:kern w:val="0"/>
          <w:position w:val="3"/>
          <w:sz w:val="32"/>
          <w:szCs w:val="32"/>
          <w:lang w:val="en-US" w:eastAsia="zh-CN" w:bidi="ar"/>
        </w:rPr>
        <w:t>五、存在主要问题</w:t>
      </w:r>
    </w:p>
    <w:p w14:paraId="0159D208">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结合自评情况，存在的问题一是预算执行率总体虽达到了100%，但受资金拨付进度影响使个别预算项目执行不及时。二是项目绩效管理工作还需更科学、更精细化。</w:t>
      </w:r>
    </w:p>
    <w:p w14:paraId="72D98AFC">
      <w:pPr>
        <w:pStyle w:val="15"/>
        <w:keepNext w:val="0"/>
        <w:keepLines w:val="0"/>
        <w:pageBreakBefore w:val="0"/>
        <w:widowControl/>
        <w:suppressLineNumbers w:val="0"/>
        <w:tabs>
          <w:tab w:val="left" w:pos="2160"/>
        </w:tabs>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黑体" w:hAnsi="黑体" w:eastAsia="黑体" w:cs="黑体"/>
          <w:kern w:val="0"/>
          <w:position w:val="3"/>
          <w:sz w:val="32"/>
          <w:szCs w:val="32"/>
        </w:rPr>
      </w:pPr>
      <w:r>
        <w:rPr>
          <w:rFonts w:hint="eastAsia" w:ascii="黑体" w:hAnsi="黑体" w:eastAsia="黑体" w:cs="黑体"/>
          <w:kern w:val="0"/>
          <w:position w:val="3"/>
          <w:sz w:val="32"/>
          <w:szCs w:val="32"/>
          <w:lang w:val="en-US" w:eastAsia="zh-CN" w:bidi="ar"/>
        </w:rPr>
        <w:t>六、改进建议</w:t>
      </w:r>
    </w:p>
    <w:p w14:paraId="6719585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both"/>
        <w:textAlignment w:val="auto"/>
        <w:rPr>
          <w:rFonts w:hint="eastAsia" w:ascii="仿宋" w:hAnsi="仿宋" w:eastAsia="仿宋" w:cs="仿宋"/>
          <w:kern w:val="2"/>
          <w:sz w:val="32"/>
          <w:szCs w:val="32"/>
        </w:rPr>
      </w:pPr>
      <w:r>
        <w:rPr>
          <w:rFonts w:hint="eastAsia" w:ascii="仿宋" w:hAnsi="仿宋" w:eastAsia="仿宋" w:cs="仿宋"/>
          <w:kern w:val="0"/>
          <w:sz w:val="32"/>
          <w:szCs w:val="32"/>
          <w:shd w:val="clear" w:fill="FFFFFF"/>
          <w:lang w:val="en-US" w:eastAsia="zh-CN" w:bidi="ar"/>
        </w:rPr>
        <w:t xml:space="preserve">   </w:t>
      </w:r>
      <w:r>
        <w:rPr>
          <w:rFonts w:hint="eastAsia" w:ascii="仿宋" w:hAnsi="仿宋" w:eastAsia="仿宋" w:cs="仿宋"/>
          <w:kern w:val="2"/>
          <w:sz w:val="32"/>
          <w:szCs w:val="32"/>
          <w:lang w:val="en-US" w:eastAsia="zh-CN" w:bidi="ar"/>
        </w:rPr>
        <w:t>一是继续加强人员培训，提高财政预算资金管理、绩效评价能力，更好的适应新形势下财政管理工作需要。二是进一步完善相关财务制度，财务考核办法，建立长效管理机制。三是做好预算执行的监控工作，按时间节点对执行进度较慢的项目应及时提醒，加快工作完成后的预算执行。</w:t>
      </w:r>
    </w:p>
    <w:p w14:paraId="4F4DEAC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6" w:lineRule="exact"/>
        <w:ind w:right="0"/>
        <w:jc w:val="both"/>
        <w:textAlignment w:val="auto"/>
        <w:rPr>
          <w:rFonts w:hint="eastAsia" w:ascii="仿宋" w:hAnsi="仿宋" w:eastAsia="仿宋" w:cs="仿宋"/>
          <w:b w:val="0"/>
          <w:bCs w:val="0"/>
          <w:color w:val="000000" w:themeColor="text1"/>
          <w:kern w:val="0"/>
          <w:position w:val="0"/>
          <w:sz w:val="32"/>
          <w:szCs w:val="32"/>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position w:val="0"/>
          <w:sz w:val="32"/>
          <w:szCs w:val="32"/>
          <w:highlight w:val="none"/>
          <w:lang w:val="en-US" w:eastAsia="zh-CN" w:bidi="ar-SA"/>
          <w14:textFill>
            <w14:solidFill>
              <w14:schemeClr w14:val="tx1"/>
            </w14:solidFill>
          </w14:textFill>
        </w:rPr>
        <w:br w:type="page"/>
      </w:r>
    </w:p>
    <w:p w14:paraId="39A96240">
      <w:pPr>
        <w:pStyle w:val="3"/>
        <w:bidi w:val="0"/>
        <w:jc w:val="center"/>
        <w:rPr>
          <w:rFonts w:hint="eastAsia" w:ascii="Times New Roman" w:hAnsi="Times New Roman" w:eastAsia="仿宋_GB2312" w:cs="仿宋_GB2312"/>
          <w:color w:val="000000" w:themeColor="text1"/>
          <w:sz w:val="44"/>
          <w:szCs w:val="44"/>
          <w:highlight w:val="none"/>
          <w14:textFill>
            <w14:solidFill>
              <w14:schemeClr w14:val="tx1"/>
            </w14:solidFill>
          </w14:textFill>
        </w:rPr>
      </w:pPr>
      <w:bookmarkStart w:id="74" w:name="_Toc4307"/>
      <w:r>
        <w:rPr>
          <w:rFonts w:hint="eastAsia" w:ascii="Times New Roman" w:hAnsi="Times New Roman" w:eastAsia="黑体"/>
          <w:color w:val="000000" w:themeColor="text1"/>
          <w:sz w:val="44"/>
          <w:szCs w:val="44"/>
          <w:highlight w:val="none"/>
          <w14:textFill>
            <w14:solidFill>
              <w14:schemeClr w14:val="tx1"/>
            </w14:solidFill>
          </w14:textFill>
        </w:rPr>
        <w:t>第</w:t>
      </w:r>
      <w:r>
        <w:rPr>
          <w:rStyle w:val="21"/>
          <w:rFonts w:hint="eastAsia" w:ascii="Times New Roman" w:hAnsi="Times New Roman" w:eastAsia="黑体"/>
          <w:b w:val="0"/>
          <w:bCs/>
          <w:color w:val="000000" w:themeColor="text1"/>
          <w:sz w:val="44"/>
          <w:szCs w:val="44"/>
          <w:highlight w:val="none"/>
          <w14:textFill>
            <w14:solidFill>
              <w14:schemeClr w14:val="tx1"/>
            </w14:solidFill>
          </w14:textFill>
        </w:rPr>
        <w:t>五部分 附表</w:t>
      </w:r>
      <w:bookmarkEnd w:id="69"/>
      <w:bookmarkEnd w:id="73"/>
      <w:bookmarkEnd w:id="74"/>
      <w:bookmarkStart w:id="75" w:name="_Toc15396619"/>
    </w:p>
    <w:p w14:paraId="5FEAC421">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bookmarkStart w:id="76" w:name="_Toc32744"/>
      <w:r>
        <w:rPr>
          <w:rFonts w:hint="eastAsia" w:ascii="仿宋" w:hAnsi="仿宋" w:eastAsia="仿宋" w:cs="仿宋"/>
          <w:b w:val="0"/>
          <w:bCs w:val="0"/>
          <w:color w:val="000000" w:themeColor="text1"/>
          <w:sz w:val="32"/>
          <w:szCs w:val="32"/>
          <w14:textFill>
            <w14:solidFill>
              <w14:schemeClr w14:val="tx1"/>
            </w14:solidFill>
          </w14:textFill>
        </w:rPr>
        <w:t>一、收入支出决算总表</w:t>
      </w:r>
      <w:bookmarkEnd w:id="75"/>
      <w:bookmarkEnd w:id="76"/>
    </w:p>
    <w:p w14:paraId="127E93CB">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bookmarkStart w:id="77" w:name="_Toc15396620"/>
      <w:bookmarkStart w:id="78" w:name="_Toc13403"/>
      <w:r>
        <w:rPr>
          <w:rFonts w:hint="eastAsia" w:ascii="仿宋" w:hAnsi="仿宋" w:eastAsia="仿宋" w:cs="仿宋"/>
          <w:b w:val="0"/>
          <w:bCs w:val="0"/>
          <w:color w:val="000000" w:themeColor="text1"/>
          <w:sz w:val="32"/>
          <w:szCs w:val="32"/>
          <w14:textFill>
            <w14:solidFill>
              <w14:schemeClr w14:val="tx1"/>
            </w14:solidFill>
          </w14:textFill>
        </w:rPr>
        <w:t>二、收入决算表</w:t>
      </w:r>
      <w:bookmarkEnd w:id="77"/>
      <w:bookmarkEnd w:id="78"/>
    </w:p>
    <w:p w14:paraId="5610E5A8">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bookmarkStart w:id="79" w:name="_Toc15396621"/>
      <w:bookmarkStart w:id="80" w:name="_Toc2914"/>
      <w:r>
        <w:rPr>
          <w:rFonts w:hint="eastAsia" w:ascii="仿宋" w:hAnsi="仿宋" w:eastAsia="仿宋" w:cs="仿宋"/>
          <w:b w:val="0"/>
          <w:bCs w:val="0"/>
          <w:color w:val="000000" w:themeColor="text1"/>
          <w:sz w:val="32"/>
          <w:szCs w:val="32"/>
          <w14:textFill>
            <w14:solidFill>
              <w14:schemeClr w14:val="tx1"/>
            </w14:solidFill>
          </w14:textFill>
        </w:rPr>
        <w:t>三、支出决算表</w:t>
      </w:r>
      <w:bookmarkEnd w:id="79"/>
      <w:bookmarkEnd w:id="80"/>
    </w:p>
    <w:p w14:paraId="5CAF3A13">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bookmarkStart w:id="81" w:name="_Toc15396622"/>
      <w:bookmarkStart w:id="82" w:name="_Toc31962"/>
      <w:r>
        <w:rPr>
          <w:rFonts w:hint="eastAsia" w:ascii="仿宋" w:hAnsi="仿宋" w:eastAsia="仿宋" w:cs="仿宋"/>
          <w:b w:val="0"/>
          <w:bCs w:val="0"/>
          <w:color w:val="000000" w:themeColor="text1"/>
          <w:sz w:val="32"/>
          <w:szCs w:val="32"/>
          <w14:textFill>
            <w14:solidFill>
              <w14:schemeClr w14:val="tx1"/>
            </w14:solidFill>
          </w14:textFill>
        </w:rPr>
        <w:t>四、财政拨款收入支出决算总表</w:t>
      </w:r>
      <w:bookmarkEnd w:id="81"/>
      <w:bookmarkEnd w:id="82"/>
    </w:p>
    <w:p w14:paraId="1C142A82">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bookmarkStart w:id="83" w:name="_Toc2493"/>
      <w:bookmarkStart w:id="84" w:name="_Toc15396623"/>
      <w:r>
        <w:rPr>
          <w:rFonts w:hint="eastAsia" w:ascii="仿宋" w:hAnsi="仿宋" w:eastAsia="仿宋" w:cs="仿宋"/>
          <w:b w:val="0"/>
          <w:bCs w:val="0"/>
          <w:color w:val="000000" w:themeColor="text1"/>
          <w:sz w:val="32"/>
          <w:szCs w:val="32"/>
          <w14:textFill>
            <w14:solidFill>
              <w14:schemeClr w14:val="tx1"/>
            </w14:solidFill>
          </w14:textFill>
        </w:rPr>
        <w:t>五、财政拨款支出决算明细表</w:t>
      </w:r>
      <w:bookmarkEnd w:id="83"/>
      <w:bookmarkEnd w:id="84"/>
      <w:bookmarkStart w:id="85" w:name="_Toc15396624"/>
    </w:p>
    <w:p w14:paraId="0A2F574C">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bookmarkStart w:id="86" w:name="_Toc12388"/>
      <w:r>
        <w:rPr>
          <w:rFonts w:hint="eastAsia" w:ascii="仿宋" w:hAnsi="仿宋" w:eastAsia="仿宋" w:cs="仿宋"/>
          <w:b w:val="0"/>
          <w:bCs w:val="0"/>
          <w:color w:val="000000" w:themeColor="text1"/>
          <w:sz w:val="32"/>
          <w:szCs w:val="32"/>
          <w14:textFill>
            <w14:solidFill>
              <w14:schemeClr w14:val="tx1"/>
            </w14:solidFill>
          </w14:textFill>
        </w:rPr>
        <w:t>六、一般公共预算财政拨款支出决算表</w:t>
      </w:r>
      <w:bookmarkEnd w:id="85"/>
      <w:bookmarkEnd w:id="86"/>
    </w:p>
    <w:p w14:paraId="6D4BD162">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bookmarkStart w:id="87" w:name="_Toc15396625"/>
      <w:bookmarkStart w:id="88" w:name="_Toc16621"/>
      <w:r>
        <w:rPr>
          <w:rFonts w:hint="eastAsia" w:ascii="仿宋" w:hAnsi="仿宋" w:eastAsia="仿宋" w:cs="仿宋"/>
          <w:b w:val="0"/>
          <w:bCs w:val="0"/>
          <w:color w:val="000000" w:themeColor="text1"/>
          <w:sz w:val="32"/>
          <w:szCs w:val="32"/>
          <w14:textFill>
            <w14:solidFill>
              <w14:schemeClr w14:val="tx1"/>
            </w14:solidFill>
          </w14:textFill>
        </w:rPr>
        <w:t>七、一般公共预算财政拨款支出决算明细表</w:t>
      </w:r>
      <w:bookmarkEnd w:id="87"/>
      <w:bookmarkEnd w:id="88"/>
    </w:p>
    <w:p w14:paraId="0CF85DDF">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bookmarkStart w:id="89" w:name="_Toc15396626"/>
      <w:bookmarkStart w:id="90" w:name="_Toc31878"/>
      <w:r>
        <w:rPr>
          <w:rFonts w:hint="eastAsia" w:ascii="仿宋" w:hAnsi="仿宋" w:eastAsia="仿宋" w:cs="仿宋"/>
          <w:b w:val="0"/>
          <w:bCs w:val="0"/>
          <w:color w:val="000000" w:themeColor="text1"/>
          <w:sz w:val="32"/>
          <w:szCs w:val="32"/>
          <w14:textFill>
            <w14:solidFill>
              <w14:schemeClr w14:val="tx1"/>
            </w14:solidFill>
          </w14:textFill>
        </w:rPr>
        <w:t>八、一般公共预算财政拨款基本支出决算表</w:t>
      </w:r>
      <w:bookmarkEnd w:id="89"/>
      <w:bookmarkEnd w:id="90"/>
    </w:p>
    <w:p w14:paraId="0069DED7">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bookmarkStart w:id="91" w:name="_Toc15396627"/>
      <w:bookmarkStart w:id="92" w:name="_Toc21010"/>
      <w:r>
        <w:rPr>
          <w:rFonts w:hint="eastAsia" w:ascii="仿宋" w:hAnsi="仿宋" w:eastAsia="仿宋" w:cs="仿宋"/>
          <w:b w:val="0"/>
          <w:bCs w:val="0"/>
          <w:color w:val="000000" w:themeColor="text1"/>
          <w:sz w:val="32"/>
          <w:szCs w:val="32"/>
          <w14:textFill>
            <w14:solidFill>
              <w14:schemeClr w14:val="tx1"/>
            </w14:solidFill>
          </w14:textFill>
        </w:rPr>
        <w:t>九、一般公共预算财政拨款项目支出决算表</w:t>
      </w:r>
      <w:bookmarkEnd w:id="91"/>
      <w:bookmarkEnd w:id="92"/>
    </w:p>
    <w:p w14:paraId="552EA386">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bookmarkStart w:id="93" w:name="_Toc15396628"/>
      <w:bookmarkStart w:id="94" w:name="_Toc2202"/>
      <w:r>
        <w:rPr>
          <w:rFonts w:hint="eastAsia" w:ascii="仿宋" w:hAnsi="仿宋" w:eastAsia="仿宋" w:cs="仿宋"/>
          <w:b w:val="0"/>
          <w:bCs w:val="0"/>
          <w:color w:val="000000" w:themeColor="text1"/>
          <w:sz w:val="32"/>
          <w:szCs w:val="32"/>
          <w14:textFill>
            <w14:solidFill>
              <w14:schemeClr w14:val="tx1"/>
            </w14:solidFill>
          </w14:textFill>
        </w:rPr>
        <w:t>十、</w:t>
      </w:r>
      <w:bookmarkEnd w:id="93"/>
      <w:r>
        <w:rPr>
          <w:rFonts w:hint="eastAsia" w:ascii="仿宋" w:hAnsi="仿宋" w:eastAsia="仿宋" w:cs="仿宋"/>
          <w:b w:val="0"/>
          <w:bCs w:val="0"/>
          <w:color w:val="000000" w:themeColor="text1"/>
          <w:sz w:val="32"/>
          <w:szCs w:val="32"/>
          <w14:textFill>
            <w14:solidFill>
              <w14:schemeClr w14:val="tx1"/>
            </w14:solidFill>
          </w14:textFill>
        </w:rPr>
        <w:t>政府性基金预算财政拨款收入支出决算表</w:t>
      </w:r>
      <w:bookmarkEnd w:id="94"/>
    </w:p>
    <w:p w14:paraId="02B01D62">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bookmarkStart w:id="95" w:name="_Toc15396629"/>
      <w:bookmarkStart w:id="96" w:name="_Toc3818"/>
      <w:r>
        <w:rPr>
          <w:rFonts w:hint="eastAsia" w:ascii="仿宋" w:hAnsi="仿宋" w:eastAsia="仿宋" w:cs="仿宋"/>
          <w:b w:val="0"/>
          <w:bCs w:val="0"/>
          <w:color w:val="000000" w:themeColor="text1"/>
          <w:sz w:val="32"/>
          <w:szCs w:val="32"/>
          <w14:textFill>
            <w14:solidFill>
              <w14:schemeClr w14:val="tx1"/>
            </w14:solidFill>
          </w14:textFill>
        </w:rPr>
        <w:t>十一、</w:t>
      </w:r>
      <w:bookmarkEnd w:id="95"/>
      <w:r>
        <w:rPr>
          <w:rFonts w:hint="eastAsia" w:ascii="仿宋" w:hAnsi="仿宋" w:eastAsia="仿宋" w:cs="仿宋"/>
          <w:b w:val="0"/>
          <w:bCs w:val="0"/>
          <w:color w:val="000000" w:themeColor="text1"/>
          <w:sz w:val="32"/>
          <w:szCs w:val="32"/>
          <w14:textFill>
            <w14:solidFill>
              <w14:schemeClr w14:val="tx1"/>
            </w14:solidFill>
          </w14:textFill>
        </w:rPr>
        <w:t>国有资本经营预算</w:t>
      </w:r>
      <w:r>
        <w:rPr>
          <w:rFonts w:hint="eastAsia" w:ascii="仿宋" w:hAnsi="仿宋" w:eastAsia="仿宋" w:cs="仿宋"/>
          <w:b w:val="0"/>
          <w:bCs w:val="0"/>
          <w:color w:val="000000" w:themeColor="text1"/>
          <w:sz w:val="32"/>
          <w:szCs w:val="32"/>
          <w:lang w:eastAsia="zh-CN"/>
          <w14:textFill>
            <w14:solidFill>
              <w14:schemeClr w14:val="tx1"/>
            </w14:solidFill>
          </w14:textFill>
        </w:rPr>
        <w:t>财政拨款收入</w:t>
      </w:r>
      <w:r>
        <w:rPr>
          <w:rFonts w:hint="eastAsia" w:ascii="仿宋" w:hAnsi="仿宋" w:eastAsia="仿宋" w:cs="仿宋"/>
          <w:b w:val="0"/>
          <w:bCs w:val="0"/>
          <w:color w:val="000000" w:themeColor="text1"/>
          <w:sz w:val="32"/>
          <w:szCs w:val="32"/>
          <w14:textFill>
            <w14:solidFill>
              <w14:schemeClr w14:val="tx1"/>
            </w14:solidFill>
          </w14:textFill>
        </w:rPr>
        <w:t>支出决算表</w:t>
      </w:r>
      <w:bookmarkEnd w:id="96"/>
    </w:p>
    <w:p w14:paraId="7AEB6DA6">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bookmarkStart w:id="97" w:name="_Toc15396630"/>
      <w:bookmarkStart w:id="98" w:name="_Toc20464"/>
      <w:r>
        <w:rPr>
          <w:rFonts w:hint="eastAsia" w:ascii="仿宋" w:hAnsi="仿宋" w:eastAsia="仿宋" w:cs="仿宋"/>
          <w:b w:val="0"/>
          <w:bCs w:val="0"/>
          <w:color w:val="000000" w:themeColor="text1"/>
          <w:sz w:val="32"/>
          <w:szCs w:val="32"/>
          <w14:textFill>
            <w14:solidFill>
              <w14:schemeClr w14:val="tx1"/>
            </w14:solidFill>
          </w14:textFill>
        </w:rPr>
        <w:t>十二、</w:t>
      </w:r>
      <w:bookmarkEnd w:id="97"/>
      <w:r>
        <w:rPr>
          <w:rFonts w:hint="eastAsia" w:ascii="仿宋" w:hAnsi="仿宋" w:eastAsia="仿宋" w:cs="仿宋"/>
          <w:b w:val="0"/>
          <w:bCs w:val="0"/>
          <w:color w:val="000000" w:themeColor="text1"/>
          <w:sz w:val="32"/>
          <w:szCs w:val="32"/>
          <w:lang w:eastAsia="zh-CN"/>
          <w14:textFill>
            <w14:solidFill>
              <w14:schemeClr w14:val="tx1"/>
            </w14:solidFill>
          </w14:textFill>
        </w:rPr>
        <w:t>国有资本经营预算财政拨款支出决算表</w:t>
      </w:r>
      <w:bookmarkEnd w:id="98"/>
    </w:p>
    <w:p w14:paraId="5C353050">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bookmarkStart w:id="99" w:name="_Toc15396631"/>
      <w:bookmarkStart w:id="100" w:name="_Toc23533"/>
      <w:r>
        <w:rPr>
          <w:rFonts w:hint="eastAsia" w:ascii="仿宋" w:hAnsi="仿宋" w:eastAsia="仿宋" w:cs="仿宋"/>
          <w:b w:val="0"/>
          <w:bCs w:val="0"/>
          <w:color w:val="000000" w:themeColor="text1"/>
          <w:sz w:val="32"/>
          <w:szCs w:val="32"/>
          <w14:textFill>
            <w14:solidFill>
              <w14:schemeClr w14:val="tx1"/>
            </w14:solidFill>
          </w14:textFill>
        </w:rPr>
        <w:t>十三、</w:t>
      </w:r>
      <w:bookmarkEnd w:id="99"/>
      <w:r>
        <w:rPr>
          <w:rFonts w:hint="eastAsia" w:ascii="仿宋" w:hAnsi="仿宋" w:eastAsia="仿宋" w:cs="仿宋"/>
          <w:b w:val="0"/>
          <w:bCs w:val="0"/>
          <w:color w:val="000000" w:themeColor="text1"/>
          <w:sz w:val="32"/>
          <w:szCs w:val="32"/>
          <w:lang w:eastAsia="zh-CN"/>
          <w14:textFill>
            <w14:solidFill>
              <w14:schemeClr w14:val="tx1"/>
            </w14:solidFill>
          </w14:textFill>
        </w:rPr>
        <w:t>财政拨款“三公”经费支出决算表</w:t>
      </w:r>
      <w:bookmarkEnd w:id="100"/>
    </w:p>
    <w:p w14:paraId="56788E17">
      <w:pPr>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p>
    <w:sectPr>
      <w:pgSz w:w="11906" w:h="16838"/>
      <w:pgMar w:top="1701" w:right="1474" w:bottom="1553" w:left="1587"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宋体"/>
    <w:panose1 w:val="02010609030101010101"/>
    <w:charset w:val="86"/>
    <w:family w:val="modern"/>
    <w:pitch w:val="default"/>
    <w:sig w:usb0="00000000" w:usb1="0000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
    <w:altName w:val="国标仿宋"/>
    <w:panose1 w:val="00000000000000000000"/>
    <w:charset w:val="00"/>
    <w:family w:val="roman"/>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Noto Sans Symbols2">
    <w:panose1 w:val="020B0502040504020204"/>
    <w:charset w:val="00"/>
    <w:family w:val="auto"/>
    <w:pitch w:val="default"/>
    <w:sig w:usb0="80000003" w:usb1="0200E3E4" w:usb2="00040020" w:usb3="0580A048"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1960D">
    <w:pPr>
      <w:pStyle w:val="10"/>
      <w:jc w:val="center"/>
    </w:pPr>
  </w:p>
  <w:p w14:paraId="5044C98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83E2">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DE394">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7DE394">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58F6812">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1602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9F830">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49F830">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8471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61ACC"/>
    <w:multiLevelType w:val="singleLevel"/>
    <w:tmpl w:val="A3F61ACC"/>
    <w:lvl w:ilvl="0" w:tentative="0">
      <w:start w:val="1"/>
      <w:numFmt w:val="decimal"/>
      <w:lvlText w:val="%1."/>
      <w:lvlJc w:val="left"/>
      <w:pPr>
        <w:tabs>
          <w:tab w:val="left" w:pos="312"/>
        </w:tabs>
      </w:pPr>
    </w:lvl>
  </w:abstractNum>
  <w:abstractNum w:abstractNumId="1">
    <w:nsid w:val="BDFF4FD1"/>
    <w:multiLevelType w:val="singleLevel"/>
    <w:tmpl w:val="BDFF4FD1"/>
    <w:lvl w:ilvl="0" w:tentative="0">
      <w:start w:val="1"/>
      <w:numFmt w:val="chineseCounting"/>
      <w:suff w:val="nothing"/>
      <w:lvlText w:val="%1、"/>
      <w:lvlJc w:val="left"/>
      <w:rPr>
        <w:rFonts w:hint="eastAsia"/>
      </w:rPr>
    </w:lvl>
  </w:abstractNum>
  <w:abstractNum w:abstractNumId="2">
    <w:nsid w:val="FFF674BC"/>
    <w:multiLevelType w:val="singleLevel"/>
    <w:tmpl w:val="FFF674BC"/>
    <w:lvl w:ilvl="0" w:tentative="0">
      <w:start w:val="1"/>
      <w:numFmt w:val="chineseCounting"/>
      <w:suff w:val="nothing"/>
      <w:lvlText w:val="%1、"/>
      <w:lvlJc w:val="left"/>
      <w:rPr>
        <w:rFonts w:hint="eastAsia"/>
      </w:rPr>
    </w:lvl>
  </w:abstractNum>
  <w:abstractNum w:abstractNumId="3">
    <w:nsid w:val="49AD91E7"/>
    <w:multiLevelType w:val="singleLevel"/>
    <w:tmpl w:val="49AD91E7"/>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377D3F"/>
    <w:rsid w:val="015975B8"/>
    <w:rsid w:val="01BF5575"/>
    <w:rsid w:val="02FEBE30"/>
    <w:rsid w:val="03443858"/>
    <w:rsid w:val="04916F1E"/>
    <w:rsid w:val="061E35DE"/>
    <w:rsid w:val="066E0107"/>
    <w:rsid w:val="07126147"/>
    <w:rsid w:val="07996F6E"/>
    <w:rsid w:val="07DFD8BA"/>
    <w:rsid w:val="086F75C9"/>
    <w:rsid w:val="09867E8F"/>
    <w:rsid w:val="09C94AB7"/>
    <w:rsid w:val="0A2032A3"/>
    <w:rsid w:val="0B9F6417"/>
    <w:rsid w:val="0CA8290A"/>
    <w:rsid w:val="0D35B1ED"/>
    <w:rsid w:val="0DC9A47C"/>
    <w:rsid w:val="0E254B6B"/>
    <w:rsid w:val="0F694D72"/>
    <w:rsid w:val="0F98263C"/>
    <w:rsid w:val="101860EC"/>
    <w:rsid w:val="101F47CC"/>
    <w:rsid w:val="10C055FF"/>
    <w:rsid w:val="11694EBD"/>
    <w:rsid w:val="11772AA4"/>
    <w:rsid w:val="118107EC"/>
    <w:rsid w:val="12E24EE2"/>
    <w:rsid w:val="13D50BC4"/>
    <w:rsid w:val="13ED0E23"/>
    <w:rsid w:val="14B17F78"/>
    <w:rsid w:val="165E0673"/>
    <w:rsid w:val="16A11295"/>
    <w:rsid w:val="16B831D5"/>
    <w:rsid w:val="16BB723D"/>
    <w:rsid w:val="175DAE7D"/>
    <w:rsid w:val="17E50567"/>
    <w:rsid w:val="186504BB"/>
    <w:rsid w:val="193225E4"/>
    <w:rsid w:val="19A445FC"/>
    <w:rsid w:val="1ABD41C4"/>
    <w:rsid w:val="1BE8440E"/>
    <w:rsid w:val="1CE67A02"/>
    <w:rsid w:val="1D155CEE"/>
    <w:rsid w:val="1D1638FE"/>
    <w:rsid w:val="1DDF5D03"/>
    <w:rsid w:val="1E312DEB"/>
    <w:rsid w:val="1E740ACF"/>
    <w:rsid w:val="1EDE21DC"/>
    <w:rsid w:val="1FDC7993"/>
    <w:rsid w:val="1FED0C5F"/>
    <w:rsid w:val="1FF35744"/>
    <w:rsid w:val="1FF6BC77"/>
    <w:rsid w:val="1FFB40BD"/>
    <w:rsid w:val="2186353C"/>
    <w:rsid w:val="23860B96"/>
    <w:rsid w:val="23FEDFAB"/>
    <w:rsid w:val="240371BF"/>
    <w:rsid w:val="244F3473"/>
    <w:rsid w:val="24C97D99"/>
    <w:rsid w:val="25A718F0"/>
    <w:rsid w:val="25BB59F6"/>
    <w:rsid w:val="25F74A2E"/>
    <w:rsid w:val="260F557C"/>
    <w:rsid w:val="26970054"/>
    <w:rsid w:val="26E57EF3"/>
    <w:rsid w:val="281408E2"/>
    <w:rsid w:val="29FD04D3"/>
    <w:rsid w:val="2BFF7BC6"/>
    <w:rsid w:val="2C8A61B5"/>
    <w:rsid w:val="2D404F0C"/>
    <w:rsid w:val="2D4D7629"/>
    <w:rsid w:val="2D7EEAD7"/>
    <w:rsid w:val="2DF04E50"/>
    <w:rsid w:val="2E586DFA"/>
    <w:rsid w:val="2E6469D8"/>
    <w:rsid w:val="2F040D46"/>
    <w:rsid w:val="2F6B035B"/>
    <w:rsid w:val="2FAE5751"/>
    <w:rsid w:val="2FB1A395"/>
    <w:rsid w:val="2FD9A7D8"/>
    <w:rsid w:val="2FDBF714"/>
    <w:rsid w:val="307F62F3"/>
    <w:rsid w:val="30AB6865"/>
    <w:rsid w:val="319F7F4E"/>
    <w:rsid w:val="32BD1EF1"/>
    <w:rsid w:val="3304709D"/>
    <w:rsid w:val="3399F135"/>
    <w:rsid w:val="33A773CB"/>
    <w:rsid w:val="33DEDEF8"/>
    <w:rsid w:val="349D6851"/>
    <w:rsid w:val="36661BDC"/>
    <w:rsid w:val="366FB3F6"/>
    <w:rsid w:val="36AA5135"/>
    <w:rsid w:val="36BE0DA7"/>
    <w:rsid w:val="36F9DF76"/>
    <w:rsid w:val="3768578B"/>
    <w:rsid w:val="376B6AA6"/>
    <w:rsid w:val="376D39B2"/>
    <w:rsid w:val="37E16F03"/>
    <w:rsid w:val="37F49C2C"/>
    <w:rsid w:val="37F53A3B"/>
    <w:rsid w:val="389B6C89"/>
    <w:rsid w:val="38C31010"/>
    <w:rsid w:val="38D469F0"/>
    <w:rsid w:val="39627CCD"/>
    <w:rsid w:val="397BAF1F"/>
    <w:rsid w:val="3A3E6C77"/>
    <w:rsid w:val="3AB79AF3"/>
    <w:rsid w:val="3AE834C0"/>
    <w:rsid w:val="3B7EF35A"/>
    <w:rsid w:val="3B9FDB6C"/>
    <w:rsid w:val="3BF5BC2F"/>
    <w:rsid w:val="3C830972"/>
    <w:rsid w:val="3CEBA265"/>
    <w:rsid w:val="3D87623F"/>
    <w:rsid w:val="3D98207C"/>
    <w:rsid w:val="3DEE7CF3"/>
    <w:rsid w:val="3DFB7F3D"/>
    <w:rsid w:val="3DFFE468"/>
    <w:rsid w:val="3E740A63"/>
    <w:rsid w:val="3E78745D"/>
    <w:rsid w:val="3EE17838"/>
    <w:rsid w:val="3EFF68F2"/>
    <w:rsid w:val="3F55381A"/>
    <w:rsid w:val="3F57E66E"/>
    <w:rsid w:val="3F6A15BB"/>
    <w:rsid w:val="3F7F7599"/>
    <w:rsid w:val="3F9F833D"/>
    <w:rsid w:val="3F9FBE8D"/>
    <w:rsid w:val="3FF4CAE0"/>
    <w:rsid w:val="3FF5299E"/>
    <w:rsid w:val="3FF7B227"/>
    <w:rsid w:val="3FFADF4F"/>
    <w:rsid w:val="3FFDFF55"/>
    <w:rsid w:val="40353587"/>
    <w:rsid w:val="42ED4D97"/>
    <w:rsid w:val="42EF6D61"/>
    <w:rsid w:val="437ED84F"/>
    <w:rsid w:val="449E9619"/>
    <w:rsid w:val="44E268DA"/>
    <w:rsid w:val="450D13D7"/>
    <w:rsid w:val="4519010B"/>
    <w:rsid w:val="45506656"/>
    <w:rsid w:val="48376AB4"/>
    <w:rsid w:val="486A6C7A"/>
    <w:rsid w:val="48B85E47"/>
    <w:rsid w:val="4A627F82"/>
    <w:rsid w:val="4B0E749A"/>
    <w:rsid w:val="4B2477C4"/>
    <w:rsid w:val="4B4F25DA"/>
    <w:rsid w:val="4BE068DB"/>
    <w:rsid w:val="4BFF295C"/>
    <w:rsid w:val="4CDB2104"/>
    <w:rsid w:val="4D44414D"/>
    <w:rsid w:val="4D577224"/>
    <w:rsid w:val="4DBF1CEB"/>
    <w:rsid w:val="4DDF39EC"/>
    <w:rsid w:val="4DF0007C"/>
    <w:rsid w:val="4E015B9A"/>
    <w:rsid w:val="4EAB630A"/>
    <w:rsid w:val="4EC15FC5"/>
    <w:rsid w:val="4ECE2238"/>
    <w:rsid w:val="4EDD7C88"/>
    <w:rsid w:val="4F833267"/>
    <w:rsid w:val="4FC450D1"/>
    <w:rsid w:val="4FE378B5"/>
    <w:rsid w:val="4FE9BD67"/>
    <w:rsid w:val="4FFB052F"/>
    <w:rsid w:val="509947B0"/>
    <w:rsid w:val="537E6D0A"/>
    <w:rsid w:val="5386726D"/>
    <w:rsid w:val="53F74C96"/>
    <w:rsid w:val="54B576DE"/>
    <w:rsid w:val="55170BA8"/>
    <w:rsid w:val="553218C9"/>
    <w:rsid w:val="5578952C"/>
    <w:rsid w:val="567E1AA5"/>
    <w:rsid w:val="56E47B74"/>
    <w:rsid w:val="57175D52"/>
    <w:rsid w:val="57BD3DD4"/>
    <w:rsid w:val="57FA4C7C"/>
    <w:rsid w:val="596323CF"/>
    <w:rsid w:val="5AF92295"/>
    <w:rsid w:val="5B250254"/>
    <w:rsid w:val="5B490B80"/>
    <w:rsid w:val="5BBCDEE3"/>
    <w:rsid w:val="5BDD79E6"/>
    <w:rsid w:val="5BEA2363"/>
    <w:rsid w:val="5BF561CA"/>
    <w:rsid w:val="5BFF5DFC"/>
    <w:rsid w:val="5CD71FC4"/>
    <w:rsid w:val="5D1F11B5"/>
    <w:rsid w:val="5D695134"/>
    <w:rsid w:val="5DAE1B18"/>
    <w:rsid w:val="5DE7D9E5"/>
    <w:rsid w:val="5EAFC87D"/>
    <w:rsid w:val="5ECEC941"/>
    <w:rsid w:val="5ED7F414"/>
    <w:rsid w:val="5F7FF31C"/>
    <w:rsid w:val="5F8563A3"/>
    <w:rsid w:val="5F944AC0"/>
    <w:rsid w:val="5FA76D33"/>
    <w:rsid w:val="5FBF9FF3"/>
    <w:rsid w:val="5FCD4E2C"/>
    <w:rsid w:val="5FEF394A"/>
    <w:rsid w:val="5FF67715"/>
    <w:rsid w:val="5FFF534D"/>
    <w:rsid w:val="606E5899"/>
    <w:rsid w:val="60F979F2"/>
    <w:rsid w:val="6136C85D"/>
    <w:rsid w:val="61F54552"/>
    <w:rsid w:val="62BF3928"/>
    <w:rsid w:val="63B3701E"/>
    <w:rsid w:val="63FE2D3B"/>
    <w:rsid w:val="6424218B"/>
    <w:rsid w:val="647F5392"/>
    <w:rsid w:val="64FF98AD"/>
    <w:rsid w:val="65E66580"/>
    <w:rsid w:val="664B1D71"/>
    <w:rsid w:val="664B4E8E"/>
    <w:rsid w:val="66BB2BB4"/>
    <w:rsid w:val="67277B67"/>
    <w:rsid w:val="67AA3209"/>
    <w:rsid w:val="67BB09FA"/>
    <w:rsid w:val="67FEDABB"/>
    <w:rsid w:val="697FC8F7"/>
    <w:rsid w:val="698D0931"/>
    <w:rsid w:val="6A7B3469"/>
    <w:rsid w:val="6A7FE5F3"/>
    <w:rsid w:val="6A9F12FA"/>
    <w:rsid w:val="6AB55470"/>
    <w:rsid w:val="6B053271"/>
    <w:rsid w:val="6BBDDB9D"/>
    <w:rsid w:val="6BDD78B3"/>
    <w:rsid w:val="6BEFF3B5"/>
    <w:rsid w:val="6C4A05C8"/>
    <w:rsid w:val="6C8742B8"/>
    <w:rsid w:val="6CAD71C1"/>
    <w:rsid w:val="6CB22A29"/>
    <w:rsid w:val="6CFB884F"/>
    <w:rsid w:val="6D7F0CD9"/>
    <w:rsid w:val="6DBF5E93"/>
    <w:rsid w:val="6DCA3DA3"/>
    <w:rsid w:val="6DCFF7C4"/>
    <w:rsid w:val="6DF28408"/>
    <w:rsid w:val="6DFF077E"/>
    <w:rsid w:val="6E714EF0"/>
    <w:rsid w:val="6E7E3605"/>
    <w:rsid w:val="6E7FDCC7"/>
    <w:rsid w:val="6ED6A62E"/>
    <w:rsid w:val="6EE00B15"/>
    <w:rsid w:val="6EFE9F0C"/>
    <w:rsid w:val="6F6FB3EB"/>
    <w:rsid w:val="6F7044D6"/>
    <w:rsid w:val="6F8731EA"/>
    <w:rsid w:val="6FBF5AA4"/>
    <w:rsid w:val="6FCE6052"/>
    <w:rsid w:val="6FCF347E"/>
    <w:rsid w:val="6FD57C00"/>
    <w:rsid w:val="6FDF7B9C"/>
    <w:rsid w:val="6FEB1632"/>
    <w:rsid w:val="6FEFFFD8"/>
    <w:rsid w:val="6FF5CC65"/>
    <w:rsid w:val="6FFB47EC"/>
    <w:rsid w:val="6FFF034A"/>
    <w:rsid w:val="6FFFD9F2"/>
    <w:rsid w:val="70161521"/>
    <w:rsid w:val="70484440"/>
    <w:rsid w:val="712A28F1"/>
    <w:rsid w:val="715C0E4B"/>
    <w:rsid w:val="71992E7C"/>
    <w:rsid w:val="72233669"/>
    <w:rsid w:val="72734D90"/>
    <w:rsid w:val="73160E6D"/>
    <w:rsid w:val="7332FE48"/>
    <w:rsid w:val="736F9668"/>
    <w:rsid w:val="73AB61DA"/>
    <w:rsid w:val="73AD73D5"/>
    <w:rsid w:val="73AF7853"/>
    <w:rsid w:val="73B6EB34"/>
    <w:rsid w:val="73BCE2D5"/>
    <w:rsid w:val="73D328E7"/>
    <w:rsid w:val="73EDB621"/>
    <w:rsid w:val="73EF7B82"/>
    <w:rsid w:val="73FA497D"/>
    <w:rsid w:val="744731E5"/>
    <w:rsid w:val="74BBD01D"/>
    <w:rsid w:val="74ED5379"/>
    <w:rsid w:val="759FF56B"/>
    <w:rsid w:val="75DEEEC2"/>
    <w:rsid w:val="75E32345"/>
    <w:rsid w:val="76E3355F"/>
    <w:rsid w:val="76FE1C31"/>
    <w:rsid w:val="76FF5125"/>
    <w:rsid w:val="776F6FFA"/>
    <w:rsid w:val="778769C8"/>
    <w:rsid w:val="77A75DCA"/>
    <w:rsid w:val="77CFE183"/>
    <w:rsid w:val="77DC22F5"/>
    <w:rsid w:val="77DF3292"/>
    <w:rsid w:val="77FF0FCB"/>
    <w:rsid w:val="77FF71E2"/>
    <w:rsid w:val="783E271A"/>
    <w:rsid w:val="785FB6F2"/>
    <w:rsid w:val="78616DE9"/>
    <w:rsid w:val="78CFF406"/>
    <w:rsid w:val="78E875D7"/>
    <w:rsid w:val="79086DAD"/>
    <w:rsid w:val="79D7FD79"/>
    <w:rsid w:val="79DDBD42"/>
    <w:rsid w:val="79EE5BA4"/>
    <w:rsid w:val="7A894339"/>
    <w:rsid w:val="7AD284E8"/>
    <w:rsid w:val="7AF7C76B"/>
    <w:rsid w:val="7AFF7572"/>
    <w:rsid w:val="7B6C7DFB"/>
    <w:rsid w:val="7B6FFFE4"/>
    <w:rsid w:val="7BBFBED0"/>
    <w:rsid w:val="7BC3E394"/>
    <w:rsid w:val="7BE395B4"/>
    <w:rsid w:val="7C1F3737"/>
    <w:rsid w:val="7CBFC87B"/>
    <w:rsid w:val="7CFE0F48"/>
    <w:rsid w:val="7CFF74E5"/>
    <w:rsid w:val="7D272ABC"/>
    <w:rsid w:val="7D7EC23E"/>
    <w:rsid w:val="7DA4FE14"/>
    <w:rsid w:val="7DDD5CB9"/>
    <w:rsid w:val="7DF7AE3F"/>
    <w:rsid w:val="7DFFAB24"/>
    <w:rsid w:val="7E8ADEBF"/>
    <w:rsid w:val="7EBDE87F"/>
    <w:rsid w:val="7EEC385D"/>
    <w:rsid w:val="7EEF11D3"/>
    <w:rsid w:val="7EFE4840"/>
    <w:rsid w:val="7F0971A6"/>
    <w:rsid w:val="7F1D62E7"/>
    <w:rsid w:val="7F1F2E39"/>
    <w:rsid w:val="7F3F679B"/>
    <w:rsid w:val="7F4FC4EF"/>
    <w:rsid w:val="7F5D4A77"/>
    <w:rsid w:val="7F5E4D54"/>
    <w:rsid w:val="7F6DD461"/>
    <w:rsid w:val="7F6E0135"/>
    <w:rsid w:val="7F79F205"/>
    <w:rsid w:val="7F7B58BF"/>
    <w:rsid w:val="7FA30C79"/>
    <w:rsid w:val="7FA79C44"/>
    <w:rsid w:val="7FAF8ABF"/>
    <w:rsid w:val="7FB299CB"/>
    <w:rsid w:val="7FB7269E"/>
    <w:rsid w:val="7FBB1025"/>
    <w:rsid w:val="7FBF58F5"/>
    <w:rsid w:val="7FC96657"/>
    <w:rsid w:val="7FD70A77"/>
    <w:rsid w:val="7FDA9588"/>
    <w:rsid w:val="7FDBFC5C"/>
    <w:rsid w:val="7FDE7693"/>
    <w:rsid w:val="7FDF220F"/>
    <w:rsid w:val="7FEDC5F7"/>
    <w:rsid w:val="7FEDD9DE"/>
    <w:rsid w:val="7FF5890D"/>
    <w:rsid w:val="7FF93490"/>
    <w:rsid w:val="7FFECD72"/>
    <w:rsid w:val="7FFFBEC3"/>
    <w:rsid w:val="83EA64BB"/>
    <w:rsid w:val="8BFD8C05"/>
    <w:rsid w:val="8D7F819A"/>
    <w:rsid w:val="99FF2014"/>
    <w:rsid w:val="9F555D96"/>
    <w:rsid w:val="9FFF6C6E"/>
    <w:rsid w:val="A5F6D92F"/>
    <w:rsid w:val="A6DD0D7F"/>
    <w:rsid w:val="A7DDA97C"/>
    <w:rsid w:val="AA225781"/>
    <w:rsid w:val="AB37980C"/>
    <w:rsid w:val="ACFF4FBB"/>
    <w:rsid w:val="ADC6F725"/>
    <w:rsid w:val="AEFE1736"/>
    <w:rsid w:val="AFAFB2F3"/>
    <w:rsid w:val="B3FF6716"/>
    <w:rsid w:val="B5AFA465"/>
    <w:rsid w:val="B5FFAB87"/>
    <w:rsid w:val="B7CF06AB"/>
    <w:rsid w:val="B7CFA926"/>
    <w:rsid w:val="B7F8786B"/>
    <w:rsid w:val="BA8F4DB6"/>
    <w:rsid w:val="BABB6AA1"/>
    <w:rsid w:val="BAE2ED6A"/>
    <w:rsid w:val="BB2F4199"/>
    <w:rsid w:val="BB7EC130"/>
    <w:rsid w:val="BBF1FDAA"/>
    <w:rsid w:val="BBFB489A"/>
    <w:rsid w:val="BBFFFF06"/>
    <w:rsid w:val="BCFF62B0"/>
    <w:rsid w:val="BCFFB442"/>
    <w:rsid w:val="BD079C78"/>
    <w:rsid w:val="BD733540"/>
    <w:rsid w:val="BD7CA825"/>
    <w:rsid w:val="BDDEFB22"/>
    <w:rsid w:val="BDED4F06"/>
    <w:rsid w:val="BEF532E0"/>
    <w:rsid w:val="BF3735D5"/>
    <w:rsid w:val="BF7F09AC"/>
    <w:rsid w:val="BFD475C3"/>
    <w:rsid w:val="BFDE5EA6"/>
    <w:rsid w:val="BFDF232F"/>
    <w:rsid w:val="BFEFD406"/>
    <w:rsid w:val="BFF731D0"/>
    <w:rsid w:val="BFFA745D"/>
    <w:rsid w:val="BFFCA544"/>
    <w:rsid w:val="C7AFB939"/>
    <w:rsid w:val="C7EFBFBA"/>
    <w:rsid w:val="CB73EA4F"/>
    <w:rsid w:val="CCFFC947"/>
    <w:rsid w:val="CF6FC6F3"/>
    <w:rsid w:val="CFD3D3D7"/>
    <w:rsid w:val="CFDF1009"/>
    <w:rsid w:val="D38FA3FA"/>
    <w:rsid w:val="D5E5491C"/>
    <w:rsid w:val="D67EA7C8"/>
    <w:rsid w:val="D6EDF6BC"/>
    <w:rsid w:val="D7D7B16A"/>
    <w:rsid w:val="D7F59239"/>
    <w:rsid w:val="D7FBBD2C"/>
    <w:rsid w:val="D7FF7DE7"/>
    <w:rsid w:val="D8D6DB89"/>
    <w:rsid w:val="D8F36966"/>
    <w:rsid w:val="DB6F4CAB"/>
    <w:rsid w:val="DB777682"/>
    <w:rsid w:val="DD1FB521"/>
    <w:rsid w:val="DD7DE68F"/>
    <w:rsid w:val="DEFBFEAE"/>
    <w:rsid w:val="DF1F3B80"/>
    <w:rsid w:val="DF6F9789"/>
    <w:rsid w:val="DF9EC40B"/>
    <w:rsid w:val="DFDD57A5"/>
    <w:rsid w:val="DFDFDB3D"/>
    <w:rsid w:val="DFE9BE81"/>
    <w:rsid w:val="DFF7C8BC"/>
    <w:rsid w:val="DFFFA9E8"/>
    <w:rsid w:val="E3FFC0BD"/>
    <w:rsid w:val="E5F4E9DC"/>
    <w:rsid w:val="E5FBEFE0"/>
    <w:rsid w:val="E63D6C41"/>
    <w:rsid w:val="E6CB3E21"/>
    <w:rsid w:val="E6D303BB"/>
    <w:rsid w:val="E6FE6762"/>
    <w:rsid w:val="E70FE695"/>
    <w:rsid w:val="E8FD2035"/>
    <w:rsid w:val="EB2E368B"/>
    <w:rsid w:val="ECFED1BC"/>
    <w:rsid w:val="ECFFFB18"/>
    <w:rsid w:val="ED1D69BB"/>
    <w:rsid w:val="ED2F6E90"/>
    <w:rsid w:val="ED5F5348"/>
    <w:rsid w:val="ED7FD312"/>
    <w:rsid w:val="EEBF479D"/>
    <w:rsid w:val="EF2E1AC6"/>
    <w:rsid w:val="EF53993F"/>
    <w:rsid w:val="EF65502C"/>
    <w:rsid w:val="EF6FD633"/>
    <w:rsid w:val="EF7B0C86"/>
    <w:rsid w:val="EFBFB2F4"/>
    <w:rsid w:val="EFBFFA21"/>
    <w:rsid w:val="EFEF55E9"/>
    <w:rsid w:val="EFFB2236"/>
    <w:rsid w:val="EFFC26C1"/>
    <w:rsid w:val="F1FF47DA"/>
    <w:rsid w:val="F2BEBCB8"/>
    <w:rsid w:val="F2FFAB62"/>
    <w:rsid w:val="F36FB518"/>
    <w:rsid w:val="F3DE1A04"/>
    <w:rsid w:val="F3F722E5"/>
    <w:rsid w:val="F4FBCD07"/>
    <w:rsid w:val="F5FCF919"/>
    <w:rsid w:val="F6FE11F4"/>
    <w:rsid w:val="F7BF48A6"/>
    <w:rsid w:val="F8FF92D0"/>
    <w:rsid w:val="F97DAB41"/>
    <w:rsid w:val="FA5DC5D7"/>
    <w:rsid w:val="FA5F1E70"/>
    <w:rsid w:val="FA5FDB97"/>
    <w:rsid w:val="FAEF2F51"/>
    <w:rsid w:val="FB69CFD7"/>
    <w:rsid w:val="FB7F486A"/>
    <w:rsid w:val="FBBBB41F"/>
    <w:rsid w:val="FBBD10A9"/>
    <w:rsid w:val="FBDE3E89"/>
    <w:rsid w:val="FBECCC97"/>
    <w:rsid w:val="FBFA65C3"/>
    <w:rsid w:val="FBFE96D2"/>
    <w:rsid w:val="FBFF5B2E"/>
    <w:rsid w:val="FD7F9C29"/>
    <w:rsid w:val="FD7FFE2B"/>
    <w:rsid w:val="FD9FCE9F"/>
    <w:rsid w:val="FDB9B60A"/>
    <w:rsid w:val="FDD7884E"/>
    <w:rsid w:val="FDEE196B"/>
    <w:rsid w:val="FDEF4A16"/>
    <w:rsid w:val="FDFAAD1C"/>
    <w:rsid w:val="FDFB091F"/>
    <w:rsid w:val="FDFE6575"/>
    <w:rsid w:val="FE3F1371"/>
    <w:rsid w:val="FEDFDDC2"/>
    <w:rsid w:val="FEED32F6"/>
    <w:rsid w:val="FEF781DD"/>
    <w:rsid w:val="FEF78740"/>
    <w:rsid w:val="FF3F7E3F"/>
    <w:rsid w:val="FF67918A"/>
    <w:rsid w:val="FF7C2543"/>
    <w:rsid w:val="FF7EDF88"/>
    <w:rsid w:val="FF9CB8A2"/>
    <w:rsid w:val="FFBA12D7"/>
    <w:rsid w:val="FFBA98FE"/>
    <w:rsid w:val="FFBF8668"/>
    <w:rsid w:val="FFBF8976"/>
    <w:rsid w:val="FFCBD314"/>
    <w:rsid w:val="FFDA5C5F"/>
    <w:rsid w:val="FFDE80AA"/>
    <w:rsid w:val="FFDEF1C0"/>
    <w:rsid w:val="FFDFF91C"/>
    <w:rsid w:val="FFDFFAEE"/>
    <w:rsid w:val="FFEF55F1"/>
    <w:rsid w:val="FFEF6777"/>
    <w:rsid w:val="FFEF9702"/>
    <w:rsid w:val="FFEFAA64"/>
    <w:rsid w:val="FFF9B57B"/>
    <w:rsid w:val="FFFD61D9"/>
    <w:rsid w:val="FFFD8F59"/>
    <w:rsid w:val="FFFE56A6"/>
    <w:rsid w:val="FFFF2BB1"/>
    <w:rsid w:val="FFFF4C43"/>
    <w:rsid w:val="FFFF73A8"/>
    <w:rsid w:val="FFFFB04D"/>
    <w:rsid w:val="FFFFF1ED"/>
    <w:rsid w:val="FFFFF4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unhideWhenUsed/>
    <w:qFormat/>
    <w:uiPriority w:val="99"/>
    <w:pPr>
      <w:keepNext w:val="0"/>
      <w:keepLines w:val="0"/>
      <w:widowControl w:val="0"/>
      <w:suppressLineNumbers w:val="0"/>
      <w:spacing w:after="120" w:afterAutospacing="0"/>
      <w:ind w:leftChars="200" w:firstLine="420" w:firstLineChars="200"/>
      <w:jc w:val="both"/>
    </w:pPr>
    <w:rPr>
      <w:rFonts w:hint="default" w:ascii="仿宋_GB2312" w:hAnsi="Times New Roman" w:eastAsia="仿宋_GB2312" w:cs="仿宋_GB2312"/>
      <w:kern w:val="2"/>
      <w:sz w:val="32"/>
      <w:szCs w:val="32"/>
      <w:lang w:val="en-US" w:eastAsia="zh-CN" w:bidi="ar"/>
    </w:rPr>
  </w:style>
  <w:style w:type="paragraph" w:styleId="6">
    <w:name w:val="Body Text"/>
    <w:basedOn w:val="1"/>
    <w:next w:val="1"/>
    <w:link w:val="29"/>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2"/>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标题 1 Char"/>
    <w:basedOn w:val="17"/>
    <w:link w:val="3"/>
    <w:qFormat/>
    <w:uiPriority w:val="9"/>
    <w:rPr>
      <w:rFonts w:ascii="Times New Roman" w:hAnsi="Times New Roman"/>
      <w:b/>
      <w:bCs/>
      <w:kern w:val="44"/>
      <w:sz w:val="44"/>
      <w:szCs w:val="44"/>
    </w:rPr>
  </w:style>
  <w:style w:type="character" w:customStyle="1" w:styleId="22">
    <w:name w:val="标题 2 Char"/>
    <w:basedOn w:val="17"/>
    <w:link w:val="4"/>
    <w:qFormat/>
    <w:uiPriority w:val="9"/>
    <w:rPr>
      <w:rFonts w:asciiTheme="majorHAnsi" w:hAnsiTheme="majorHAnsi" w:eastAsiaTheme="majorEastAsia" w:cstheme="majorBidi"/>
      <w:b/>
      <w:bCs/>
      <w:kern w:val="2"/>
      <w:sz w:val="32"/>
      <w:szCs w:val="32"/>
    </w:rPr>
  </w:style>
  <w:style w:type="character" w:customStyle="1" w:styleId="23">
    <w:name w:val="标题 3 Char"/>
    <w:basedOn w:val="17"/>
    <w:link w:val="5"/>
    <w:qFormat/>
    <w:uiPriority w:val="9"/>
    <w:rPr>
      <w:rFonts w:ascii="Times New Roman" w:hAnsi="Times New Roman"/>
      <w:b/>
      <w:bCs/>
      <w:kern w:val="2"/>
      <w:sz w:val="32"/>
      <w:szCs w:val="32"/>
    </w:rPr>
  </w:style>
  <w:style w:type="character" w:customStyle="1" w:styleId="24">
    <w:name w:val="Header Char"/>
    <w:basedOn w:val="17"/>
    <w:semiHidden/>
    <w:qFormat/>
    <w:uiPriority w:val="99"/>
    <w:rPr>
      <w:rFonts w:ascii="Times New Roman" w:hAnsi="Times New Roman"/>
      <w:sz w:val="18"/>
      <w:szCs w:val="18"/>
    </w:rPr>
  </w:style>
  <w:style w:type="character" w:customStyle="1" w:styleId="25">
    <w:name w:val="页眉 Char"/>
    <w:link w:val="11"/>
    <w:semiHidden/>
    <w:qFormat/>
    <w:locked/>
    <w:uiPriority w:val="99"/>
    <w:rPr>
      <w:sz w:val="18"/>
    </w:rPr>
  </w:style>
  <w:style w:type="character" w:customStyle="1" w:styleId="26">
    <w:name w:val="Footer Char"/>
    <w:basedOn w:val="17"/>
    <w:semiHidden/>
    <w:qFormat/>
    <w:uiPriority w:val="99"/>
    <w:rPr>
      <w:rFonts w:ascii="Times New Roman" w:hAnsi="Times New Roman"/>
      <w:sz w:val="18"/>
      <w:szCs w:val="18"/>
    </w:rPr>
  </w:style>
  <w:style w:type="character" w:customStyle="1" w:styleId="27">
    <w:name w:val="页脚 Char"/>
    <w:link w:val="10"/>
    <w:qFormat/>
    <w:locked/>
    <w:uiPriority w:val="99"/>
    <w:rPr>
      <w:sz w:val="18"/>
    </w:rPr>
  </w:style>
  <w:style w:type="character" w:customStyle="1" w:styleId="28">
    <w:name w:val="Body Text Char"/>
    <w:basedOn w:val="17"/>
    <w:semiHidden/>
    <w:qFormat/>
    <w:uiPriority w:val="99"/>
    <w:rPr>
      <w:rFonts w:ascii="Times New Roman" w:hAnsi="Times New Roman"/>
      <w:szCs w:val="24"/>
    </w:rPr>
  </w:style>
  <w:style w:type="character" w:customStyle="1" w:styleId="29">
    <w:name w:val="正文文本 Char"/>
    <w:link w:val="6"/>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9"/>
    <w:semiHidden/>
    <w:qFormat/>
    <w:uiPriority w:val="99"/>
    <w:rPr>
      <w:rFonts w:ascii="Times New Roman" w:hAnsi="Times New Roman"/>
      <w:kern w:val="2"/>
      <w:sz w:val="18"/>
      <w:szCs w:val="18"/>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home/user/Desktop/&#24453;&#21150;&#24037;&#20316;/&#20915;&#31639;&#22270;&#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home/user/Desktop/&#24453;&#21150;&#24037;&#20316;/&#20915;&#31639;&#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ome/user/Desktop/&#24453;&#21150;&#24037;&#20316;/2024&#20915;&#31639;/&#20915;&#31639;&#22270;&#34920;.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ome/user/Desktop/&#24453;&#21150;&#24037;&#20316;/&#20915;&#31639;&#22270;&#34920;.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home/user/Desktop/&#24453;&#21150;&#24037;&#20316;/&#20915;&#31639;&#22270;&#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ser/Desktop/&#24453;&#21150;&#24037;&#20316;/&#20915;&#31639;&#22270;&#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ser/Desktop/&#24453;&#21150;&#24037;&#20316;/&#20915;&#31639;&#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sz="1400" b="0" i="0" u="none" strike="noStrike" baseline="0">
                <a:solidFill>
                  <a:srgbClr val="000000"/>
                </a:solidFill>
                <a:latin typeface="国标黑体" panose="02000500000000000000" charset="-122"/>
                <a:ea typeface="国标黑体" panose="02000500000000000000" charset="-122"/>
                <a:cs typeface="国标黑体" panose="02000500000000000000" charset="-122"/>
              </a:rPr>
              <a:t>图1</a:t>
            </a:r>
            <a:r>
              <a:rPr lang="en-US" altLang="zh-CN" sz="1400" b="0" i="0" u="none" strike="noStrike" baseline="0">
                <a:solidFill>
                  <a:srgbClr val="000000"/>
                </a:solidFill>
                <a:latin typeface="国标黑体" panose="02000500000000000000" charset="-122"/>
                <a:ea typeface="国标黑体" panose="02000500000000000000" charset="-122"/>
                <a:cs typeface="国标黑体" panose="02000500000000000000" charset="-122"/>
              </a:rPr>
              <a:t>  </a:t>
            </a:r>
            <a:r>
              <a:rPr sz="1400" b="0" i="0" u="none" strike="noStrike" baseline="0">
                <a:solidFill>
                  <a:srgbClr val="000000"/>
                </a:solidFill>
                <a:latin typeface="国标黑体" panose="02000500000000000000" charset="-122"/>
                <a:ea typeface="国标黑体" panose="02000500000000000000" charset="-122"/>
                <a:cs typeface="国标黑体" panose="02000500000000000000" charset="-122"/>
              </a:rPr>
              <a:t>收入、支出决算总计变动情况</a:t>
            </a:r>
            <a:endParaRPr sz="1100" b="0" i="0" u="none" strike="noStrike" baseline="0">
              <a:solidFill>
                <a:srgbClr val="000000"/>
              </a:solidFill>
              <a:latin typeface="国标黑体" panose="02000500000000000000" charset="-122"/>
              <a:ea typeface="国标黑体" panose="02000500000000000000" charset="-122"/>
              <a:cs typeface="国标黑体" panose="02000500000000000000" charset="-122"/>
            </a:endParaRPr>
          </a:p>
        </c:rich>
      </c:tx>
      <c:layout/>
      <c:overlay val="0"/>
      <c:spPr>
        <a:noFill/>
        <a:ln>
          <a:noFill/>
        </a:ln>
        <a:effectLst/>
      </c:spPr>
    </c:title>
    <c:autoTitleDeleted val="0"/>
    <c:plotArea>
      <c:layout>
        <c:manualLayout>
          <c:layoutTarget val="inner"/>
          <c:xMode val="edge"/>
          <c:yMode val="edge"/>
          <c:x val="0.106351550960118"/>
          <c:y val="0.231048240841494"/>
          <c:w val="0.788404726735598"/>
          <c:h val="0.60671019223794"/>
        </c:manualLayout>
      </c:layout>
      <c:barChart>
        <c:barDir val="col"/>
        <c:grouping val="clustered"/>
        <c:varyColors val="0"/>
        <c:ser>
          <c:idx val="0"/>
          <c:order val="0"/>
          <c:tx>
            <c:strRef>
              <c:f>[决算图表.xls]决算说明!$B$1</c:f>
              <c:strCache>
                <c:ptCount val="1"/>
                <c:pt idx="0">
                  <c:v>2023年</c:v>
                </c:pt>
              </c:strCache>
            </c:strRef>
          </c:tx>
          <c:spPr>
            <a:solidFill>
              <a:schemeClr val="accent1"/>
            </a:solidFill>
            <a:ln>
              <a:noFill/>
            </a:ln>
            <a:effectLst/>
          </c:spPr>
          <c:invertIfNegative val="0"/>
          <c:dLbls>
            <c:dLbl>
              <c:idx val="0"/>
              <c:layout>
                <c:manualLayout>
                  <c:x val="-0.00923190546528804"/>
                  <c:y val="0"/>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[决算图表.xls]决算说明!$A$2</c:f>
              <c:numCache>
                <c:formatCode>General</c:formatCode>
                <c:ptCount val="1"/>
              </c:numCache>
            </c:numRef>
          </c:cat>
          <c:val>
            <c:numRef>
              <c:f>[决算图表.xls]决算说明!$B$2</c:f>
              <c:numCache>
                <c:formatCode>General</c:formatCode>
                <c:ptCount val="1"/>
                <c:pt idx="0">
                  <c:v>1175.58</c:v>
                </c:pt>
              </c:numCache>
            </c:numRef>
          </c:val>
        </c:ser>
        <c:ser>
          <c:idx val="1"/>
          <c:order val="1"/>
          <c:tx>
            <c:strRef>
              <c:f>[决算图表.xls]决算说明!$C$1</c:f>
              <c:strCache>
                <c:ptCount val="1"/>
                <c:pt idx="0">
                  <c:v>2024年</c:v>
                </c:pt>
              </c:strCache>
            </c:strRef>
          </c:tx>
          <c:spPr>
            <a:solidFill>
              <a:schemeClr val="accent2"/>
            </a:solidFill>
            <a:ln>
              <a:noFill/>
            </a:ln>
            <a:effectLst/>
          </c:spPr>
          <c:invertIfNegative val="0"/>
          <c:dLbls>
            <c:dLbl>
              <c:idx val="0"/>
              <c:layout>
                <c:manualLayout>
                  <c:x val="0.0147710487444609"/>
                  <c:y val="0.0027203482045701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[决算图表.xls]决算说明!$A$2</c:f>
              <c:numCache>
                <c:formatCode>General</c:formatCode>
                <c:ptCount val="1"/>
              </c:numCache>
            </c:numRef>
          </c:cat>
          <c:val>
            <c:numRef>
              <c:f>[决算图表.xls]决算说明!$C$2</c:f>
              <c:numCache>
                <c:formatCode>General</c:formatCode>
                <c:ptCount val="1"/>
                <c:pt idx="0">
                  <c:v>1081.63</c:v>
                </c:pt>
              </c:numCache>
            </c:numRef>
          </c:val>
        </c:ser>
        <c:dLbls>
          <c:showLegendKey val="0"/>
          <c:showVal val="0"/>
          <c:showCatName val="0"/>
          <c:showSerName val="0"/>
          <c:showPercent val="0"/>
          <c:showBubbleSize val="0"/>
        </c:dLbls>
        <c:gapWidth val="246"/>
        <c:overlap val="-28"/>
        <c:axId val="962658660"/>
        <c:axId val="190974408"/>
      </c:barChart>
      <c:lineChart>
        <c:grouping val="standard"/>
        <c:varyColors val="0"/>
        <c:ser>
          <c:idx val="2"/>
          <c:order val="2"/>
          <c:tx>
            <c:strRef>
              <c:f>[决算图表.xls]决算说明!$D$1</c:f>
              <c:strCache>
                <c:ptCount val="1"/>
                <c:pt idx="0">
                  <c:v>增长率（%）</c:v>
                </c:pt>
              </c:strCache>
            </c:strRef>
          </c:tx>
          <c:marker>
            <c:symbol val="none"/>
          </c:marker>
          <c:dLbls>
            <c:delete val="1"/>
          </c:dLbls>
          <c:cat>
            <c:numRef>
              <c:f>[决算图表.xls]决算说明!$A$2</c:f>
              <c:numCache>
                <c:formatCode>General</c:formatCode>
                <c:ptCount val="1"/>
              </c:numCache>
            </c:numRef>
          </c:cat>
          <c:val>
            <c:numRef>
              <c:f>[决算图表.xls]决算说明!$D$2</c:f>
              <c:numCache>
                <c:formatCode>0.00_ </c:formatCode>
                <c:ptCount val="1"/>
                <c:pt idx="0">
                  <c:v>-7.99179979244286</c:v>
                </c:pt>
              </c:numCache>
            </c:numRef>
          </c:val>
          <c:smooth val="0"/>
        </c:ser>
        <c:dLbls>
          <c:showLegendKey val="0"/>
          <c:showVal val="0"/>
          <c:showCatName val="0"/>
          <c:showSerName val="0"/>
          <c:showPercent val="0"/>
          <c:showBubbleSize val="0"/>
        </c:dLbls>
        <c:marker val="0"/>
        <c:smooth val="0"/>
        <c:axId val="962658660"/>
        <c:axId val="190974408"/>
      </c:lineChart>
      <c:catAx>
        <c:axId val="96265866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190974408"/>
        <c:crosses val="autoZero"/>
        <c:auto val="1"/>
        <c:lblAlgn val="ctr"/>
        <c:lblOffset val="100"/>
        <c:noMultiLvlLbl val="0"/>
      </c:catAx>
      <c:valAx>
        <c:axId val="190974408"/>
        <c:scaling>
          <c:orientation val="minMax"/>
        </c:scaling>
        <c:delete val="1"/>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595959">
                    <a:alpha val="100000"/>
                  </a:srgbClr>
                </a:solidFill>
                <a:latin typeface="+mn-lt"/>
                <a:ea typeface="+mn-ea"/>
                <a:cs typeface="+mn-cs"/>
              </a:defRPr>
            </a:pPr>
          </a:p>
        </c:txPr>
        <c:crossAx val="962658660"/>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22b07820-f6c1-4b4a-847d-03028ba6cc4d}"/>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ysClr val="windowText" lastClr="000000"/>
                </a:solidFill>
                <a:latin typeface="+mn-lt"/>
                <a:ea typeface="+mn-ea"/>
                <a:cs typeface="+mn-cs"/>
              </a:defRPr>
            </a:pPr>
            <a:r>
              <a:rPr b="0">
                <a:solidFill>
                  <a:sysClr val="windowText" lastClr="000000"/>
                </a:solidFill>
                <a:latin typeface="国标黑体" panose="02000500000000000000" charset="-122"/>
                <a:ea typeface="国标黑体" panose="02000500000000000000" charset="-122"/>
                <a:cs typeface="国标黑体" panose="02000500000000000000" charset="-122"/>
              </a:rPr>
              <a:t>图</a:t>
            </a:r>
            <a:r>
              <a:rPr lang="en-US" altLang="zh-CN" b="0">
                <a:solidFill>
                  <a:sysClr val="windowText" lastClr="000000"/>
                </a:solidFill>
                <a:latin typeface="国标黑体" panose="02000500000000000000" charset="-122"/>
                <a:ea typeface="国标黑体" panose="02000500000000000000" charset="-122"/>
                <a:cs typeface="国标黑体" panose="02000500000000000000" charset="-122"/>
              </a:rPr>
              <a:t>2  </a:t>
            </a:r>
            <a:r>
              <a:rPr b="0">
                <a:solidFill>
                  <a:sysClr val="windowText" lastClr="000000"/>
                </a:solidFill>
                <a:latin typeface="国标黑体" panose="02000500000000000000" charset="-122"/>
                <a:ea typeface="国标黑体" panose="02000500000000000000" charset="-122"/>
                <a:cs typeface="国标黑体" panose="02000500000000000000" charset="-122"/>
              </a:rPr>
              <a:t>收入决算结构</a:t>
            </a:r>
            <a:endParaRPr b="0">
              <a:solidFill>
                <a:sysClr val="windowText" lastClr="000000"/>
              </a:solidFill>
              <a:latin typeface="国标黑体" panose="02000500000000000000" charset="-122"/>
              <a:ea typeface="国标黑体" panose="02000500000000000000" charset="-122"/>
              <a:cs typeface="国标黑体" panose="02000500000000000000" charset="-122"/>
            </a:endParaRPr>
          </a:p>
        </c:rich>
      </c:tx>
      <c:layout/>
      <c:overlay val="0"/>
      <c:spPr>
        <a:noFill/>
        <a:ln>
          <a:noFill/>
        </a:ln>
        <a:effectLst/>
      </c:spPr>
    </c:title>
    <c:autoTitleDeleted val="0"/>
    <c:plotArea>
      <c:layout/>
      <c:pieChart>
        <c:varyColors val="1"/>
        <c:ser>
          <c:idx val="0"/>
          <c:order val="0"/>
          <c:tx>
            <c:strRef>
              <c:f>[决算图表.xls]Sheet1!$A$11</c:f>
              <c:strCache>
                <c:ptCount val="1"/>
                <c:pt idx="0">
                  <c:v>2024</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[决算图表.xls]Sheet1!$B$10</c:f>
              <c:strCache>
                <c:ptCount val="1"/>
                <c:pt idx="0">
                  <c:v>一般公共预算财政拨款收入</c:v>
                </c:pt>
              </c:strCache>
            </c:strRef>
          </c:cat>
          <c:val>
            <c:numRef>
              <c:f>[决算图表.xls]Sheet1!$B$11</c:f>
              <c:numCache>
                <c:formatCode>General</c:formatCode>
                <c:ptCount val="1"/>
                <c:pt idx="0">
                  <c:v>1081.63</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94190c48-14a2-4d1c-a4f5-e912a018538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ysClr val="windowText" lastClr="000000"/>
                </a:solidFill>
                <a:latin typeface="+mn-lt"/>
                <a:ea typeface="+mn-ea"/>
                <a:cs typeface="+mn-cs"/>
              </a:defRPr>
            </a:pPr>
            <a:r>
              <a:rPr sz="1400" i="0" u="none" strike="noStrike" baseline="0">
                <a:solidFill>
                  <a:srgbClr val="000000"/>
                </a:solidFill>
                <a:latin typeface="国标黑体" panose="02000500000000000000" charset="-122"/>
                <a:ea typeface="国标黑体" panose="02000500000000000000" charset="-122"/>
                <a:cs typeface="国标黑体" panose="02000500000000000000" charset="-122"/>
              </a:rPr>
              <a:t>图3</a:t>
            </a:r>
            <a:r>
              <a:rPr lang="en-US" altLang="zh-CN" sz="1400" i="0" u="none" strike="noStrike" baseline="0">
                <a:solidFill>
                  <a:srgbClr val="000000"/>
                </a:solidFill>
                <a:latin typeface="国标黑体" panose="02000500000000000000" charset="-122"/>
                <a:ea typeface="国标黑体" panose="02000500000000000000" charset="-122"/>
                <a:cs typeface="国标黑体" panose="02000500000000000000" charset="-122"/>
              </a:rPr>
              <a:t>  </a:t>
            </a:r>
            <a:r>
              <a:rPr sz="1400" i="0" u="none" strike="noStrike" baseline="0">
                <a:solidFill>
                  <a:srgbClr val="000000"/>
                </a:solidFill>
                <a:latin typeface="国标黑体" panose="02000500000000000000" charset="-122"/>
                <a:ea typeface="国标黑体" panose="02000500000000000000" charset="-122"/>
                <a:cs typeface="国标黑体" panose="02000500000000000000" charset="-122"/>
              </a:rPr>
              <a:t>支出决算结构</a:t>
            </a:r>
            <a:endParaRPr sz="1100" i="0" u="none" strike="noStrike" baseline="0">
              <a:solidFill>
                <a:srgbClr val="000000"/>
              </a:solidFill>
              <a:latin typeface="国标黑体" panose="02000500000000000000" charset="-122"/>
              <a:ea typeface="国标黑体" panose="02000500000000000000" charset="-122"/>
              <a:cs typeface="国标黑体" panose="02000500000000000000" charset="-122"/>
            </a:endParaRPr>
          </a:p>
        </c:rich>
      </c:tx>
      <c:layout/>
      <c:overlay val="0"/>
      <c:spPr>
        <a:noFill/>
        <a:ln>
          <a:noFill/>
        </a:ln>
        <a:effectLst/>
      </c:spPr>
    </c:title>
    <c:autoTitleDeleted val="0"/>
    <c:plotArea>
      <c:layout>
        <c:manualLayout>
          <c:layoutTarget val="inner"/>
          <c:xMode val="edge"/>
          <c:yMode val="edge"/>
          <c:x val="0.30875"/>
          <c:y val="0.182407407407407"/>
          <c:w val="0.374605263157895"/>
          <c:h val="0.659027777777778"/>
        </c:manualLayout>
      </c:layout>
      <c:pieChart>
        <c:varyColors val="1"/>
        <c:ser>
          <c:idx val="0"/>
          <c:order val="0"/>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8</a:t>
                    </a:r>
                    <a:r>
                      <a:rPr lang="en-US" altLang="zh-CN"/>
                      <a:t>4.81</a:t>
                    </a:r>
                    <a:r>
                      <a:t>%</a:t>
                    </a:r>
                  </a:p>
                </c:rich>
              </c:tx>
              <c:dLblPos val="inEnd"/>
              <c:showLegendKey val="0"/>
              <c:showVal val="0"/>
              <c:showCatName val="0"/>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15</a:t>
                    </a:r>
                    <a:r>
                      <a:rPr lang="en-US" altLang="zh-CN"/>
                      <a:t>.19</a:t>
                    </a:r>
                    <a:r>
                      <a:t>%</a:t>
                    </a:r>
                  </a:p>
                </c:rich>
              </c:tx>
              <c:dLblPos val="inEnd"/>
              <c:showLegendKey val="0"/>
              <c:showVal val="0"/>
              <c:showCatName val="0"/>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[决算图表.xls]决算说明!$A$24:$A$25</c:f>
              <c:strCache>
                <c:ptCount val="2"/>
                <c:pt idx="0">
                  <c:v>基本支出</c:v>
                </c:pt>
                <c:pt idx="1">
                  <c:v>项目支出</c:v>
                </c:pt>
              </c:strCache>
            </c:strRef>
          </c:cat>
          <c:val>
            <c:numRef>
              <c:f>[决算图表.xls]决算说明!$B$24:$B$25</c:f>
              <c:numCache>
                <c:formatCode>General</c:formatCode>
                <c:ptCount val="2"/>
                <c:pt idx="0">
                  <c:v>917.11</c:v>
                </c:pt>
                <c:pt idx="1">
                  <c:v>164.24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377631578947368"/>
          <c:y val="0.90717592592592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c091245-ed72-437e-af22-b7fbeb4b9331}"/>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ysClr val="windowText" lastClr="000000"/>
                </a:solidFill>
                <a:latin typeface="+mn-lt"/>
                <a:ea typeface="+mn-ea"/>
                <a:cs typeface="+mn-cs"/>
              </a:defRPr>
            </a:pPr>
            <a:r>
              <a:rPr sz="1400" b="0" i="0" u="none" strike="noStrike" baseline="0">
                <a:solidFill>
                  <a:srgbClr val="000000"/>
                </a:solidFill>
                <a:latin typeface="国标黑体" panose="02000500000000000000" charset="-122"/>
                <a:ea typeface="国标黑体" panose="02000500000000000000" charset="-122"/>
                <a:cs typeface="国标黑体" panose="02000500000000000000" charset="-122"/>
              </a:rPr>
              <a:t>图4</a:t>
            </a:r>
            <a:r>
              <a:rPr lang="en-US" altLang="zh-CN" sz="1400" b="0" i="0" u="none" strike="noStrike" baseline="0">
                <a:solidFill>
                  <a:srgbClr val="000000"/>
                </a:solidFill>
                <a:latin typeface="国标黑体" panose="02000500000000000000" charset="-122"/>
                <a:ea typeface="国标黑体" panose="02000500000000000000" charset="-122"/>
                <a:cs typeface="国标黑体" panose="02000500000000000000" charset="-122"/>
              </a:rPr>
              <a:t>  </a:t>
            </a:r>
            <a:r>
              <a:rPr sz="1400" b="0" i="0" u="none" strike="noStrike" baseline="0">
                <a:solidFill>
                  <a:srgbClr val="000000"/>
                </a:solidFill>
                <a:latin typeface="国标黑体" panose="02000500000000000000" charset="-122"/>
                <a:ea typeface="国标黑体" panose="02000500000000000000" charset="-122"/>
                <a:cs typeface="国标黑体" panose="02000500000000000000" charset="-122"/>
              </a:rPr>
              <a:t>财政拨款收、支决算总计变动情况</a:t>
            </a:r>
            <a:endParaRPr sz="1100" b="0" i="0" u="none" strike="noStrike" baseline="0">
              <a:solidFill>
                <a:srgbClr val="000000"/>
              </a:solidFill>
              <a:latin typeface="国标黑体" panose="02000500000000000000" charset="-122"/>
              <a:ea typeface="国标黑体" panose="02000500000000000000" charset="-122"/>
              <a:cs typeface="国标黑体" panose="02000500000000000000" charset="-122"/>
            </a:endParaRPr>
          </a:p>
        </c:rich>
      </c:tx>
      <c:layout>
        <c:manualLayout>
          <c:xMode val="edge"/>
          <c:yMode val="edge"/>
          <c:x val="0.275067586655067"/>
          <c:y val="0.0261200804942741"/>
        </c:manualLayout>
      </c:layout>
      <c:overlay val="0"/>
      <c:spPr>
        <a:noFill/>
        <a:ln>
          <a:noFill/>
        </a:ln>
        <a:effectLst/>
      </c:spPr>
    </c:title>
    <c:autoTitleDeleted val="0"/>
    <c:plotArea>
      <c:layout>
        <c:manualLayout>
          <c:layoutTarget val="inner"/>
          <c:xMode val="edge"/>
          <c:yMode val="edge"/>
          <c:x val="0.0308104487608841"/>
          <c:y val="0.27138800141995"/>
          <c:w val="0.939718687206966"/>
          <c:h val="0.56272630457934"/>
        </c:manualLayout>
      </c:layout>
      <c:barChart>
        <c:barDir val="col"/>
        <c:grouping val="clustered"/>
        <c:varyColors val="0"/>
        <c:ser>
          <c:idx val="0"/>
          <c:order val="0"/>
          <c:tx>
            <c:strRef>
              <c:f>[决算图表.xls]Sheet2!$B$1</c:f>
              <c:strCache>
                <c:ptCount val="1"/>
                <c:pt idx="0">
                  <c:v>2023年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[决算图表.xls]Sheet2!$A$2</c:f>
              <c:numCache>
                <c:formatCode>General</c:formatCode>
                <c:ptCount val="1"/>
              </c:numCache>
            </c:numRef>
          </c:cat>
          <c:val>
            <c:numRef>
              <c:f>[决算图表.xls]Sheet2!$B$2</c:f>
              <c:numCache>
                <c:formatCode>General</c:formatCode>
                <c:ptCount val="1"/>
                <c:pt idx="0">
                  <c:v>1144.99</c:v>
                </c:pt>
              </c:numCache>
            </c:numRef>
          </c:val>
        </c:ser>
        <c:ser>
          <c:idx val="1"/>
          <c:order val="1"/>
          <c:tx>
            <c:strRef>
              <c:f>[决算图表.xls]Sheet2!$C$1</c:f>
              <c:strCache>
                <c:ptCount val="1"/>
                <c:pt idx="0">
                  <c:v>2024年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[决算图表.xls]Sheet2!$A$2</c:f>
              <c:numCache>
                <c:formatCode>General</c:formatCode>
                <c:ptCount val="1"/>
              </c:numCache>
            </c:numRef>
          </c:cat>
          <c:val>
            <c:numRef>
              <c:f>[决算图表.xls]Sheet2!$C$2</c:f>
              <c:numCache>
                <c:formatCode>General</c:formatCode>
                <c:ptCount val="1"/>
                <c:pt idx="0">
                  <c:v>1081.28</c:v>
                </c:pt>
              </c:numCache>
            </c:numRef>
          </c:val>
        </c:ser>
        <c:dLbls>
          <c:showLegendKey val="0"/>
          <c:showVal val="0"/>
          <c:showCatName val="0"/>
          <c:showSerName val="0"/>
          <c:showPercent val="0"/>
          <c:showBubbleSize val="0"/>
        </c:dLbls>
        <c:gapWidth val="246"/>
        <c:overlap val="-28"/>
        <c:axId val="223478555"/>
        <c:axId val="85135393"/>
      </c:barChart>
      <c:lineChart>
        <c:grouping val="standard"/>
        <c:varyColors val="0"/>
        <c:ser>
          <c:idx val="2"/>
          <c:order val="2"/>
          <c:tx>
            <c:strRef>
              <c:f>[决算图表.xls]Sheet2!$D$1</c:f>
              <c:strCache>
                <c:ptCount val="1"/>
                <c:pt idx="0">
                  <c:v>增长率(%)</c:v>
                </c:pt>
              </c:strCache>
            </c:strRef>
          </c:tx>
          <c:marker>
            <c:symbol val="none"/>
          </c:marker>
          <c:dLbls>
            <c:delete val="1"/>
          </c:dLbls>
          <c:cat>
            <c:numRef>
              <c:f>[决算图表.xls]Sheet2!$A$2</c:f>
              <c:numCache>
                <c:formatCode>General</c:formatCode>
                <c:ptCount val="1"/>
              </c:numCache>
            </c:numRef>
          </c:cat>
          <c:val>
            <c:numRef>
              <c:f>[决算图表.xls]Sheet2!$D$2</c:f>
              <c:numCache>
                <c:formatCode>0.00_ </c:formatCode>
                <c:ptCount val="1"/>
                <c:pt idx="0">
                  <c:v>-5.56424073572695</c:v>
                </c:pt>
              </c:numCache>
            </c:numRef>
          </c:val>
          <c:smooth val="0"/>
        </c:ser>
        <c:dLbls>
          <c:showLegendKey val="0"/>
          <c:showVal val="0"/>
          <c:showCatName val="0"/>
          <c:showSerName val="0"/>
          <c:showPercent val="0"/>
          <c:showBubbleSize val="0"/>
        </c:dLbls>
        <c:marker val="0"/>
        <c:smooth val="0"/>
        <c:axId val="223478555"/>
        <c:axId val="85135393"/>
      </c:lineChart>
      <c:catAx>
        <c:axId val="22347855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5135393"/>
        <c:crosses val="autoZero"/>
        <c:auto val="1"/>
        <c:lblAlgn val="ctr"/>
        <c:lblOffset val="100"/>
        <c:noMultiLvlLbl val="0"/>
      </c:catAx>
      <c:valAx>
        <c:axId val="85135393"/>
        <c:scaling>
          <c:orientation val="minMax"/>
        </c:scaling>
        <c:delete val="1"/>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595959">
                    <a:alpha val="100000"/>
                  </a:srgbClr>
                </a:solidFill>
                <a:latin typeface="+mn-lt"/>
                <a:ea typeface="+mn-ea"/>
                <a:cs typeface="+mn-cs"/>
              </a:defRPr>
            </a:pPr>
          </a:p>
        </c:txPr>
        <c:crossAx val="223478555"/>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9f305102-28f7-4d50-afe6-dafc3c80139d}"/>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ysClr val="windowText" lastClr="000000"/>
                </a:solidFill>
                <a:latin typeface="+mn-lt"/>
                <a:ea typeface="+mn-ea"/>
                <a:cs typeface="+mn-cs"/>
              </a:defRPr>
            </a:pPr>
            <a:r>
              <a:rPr sz="1400" b="0" i="0" u="none" strike="noStrike" baseline="0">
                <a:solidFill>
                  <a:srgbClr val="000000"/>
                </a:solidFill>
                <a:latin typeface="国标黑体" panose="02000500000000000000" charset="-122"/>
                <a:ea typeface="国标黑体" panose="02000500000000000000" charset="-122"/>
                <a:cs typeface="国标黑体" panose="02000500000000000000" charset="-122"/>
              </a:rPr>
              <a:t>图</a:t>
            </a:r>
            <a:r>
              <a:rPr lang="en-US" altLang="zh-CN" sz="1400" b="0" i="0" u="none" strike="noStrike" baseline="0">
                <a:solidFill>
                  <a:srgbClr val="000000"/>
                </a:solidFill>
                <a:latin typeface="国标黑体" panose="02000500000000000000" charset="-122"/>
                <a:ea typeface="国标黑体" panose="02000500000000000000" charset="-122"/>
                <a:cs typeface="国标黑体" panose="02000500000000000000" charset="-122"/>
              </a:rPr>
              <a:t>5  一般公共预算财政拨款支出决算变动情况</a:t>
            </a:r>
            <a:endParaRPr sz="1100" b="0" i="0" u="none" strike="noStrike" baseline="0">
              <a:solidFill>
                <a:srgbClr val="000000"/>
              </a:solidFill>
              <a:latin typeface="国标黑体" panose="02000500000000000000" charset="-122"/>
              <a:ea typeface="国标黑体" panose="02000500000000000000" charset="-122"/>
              <a:cs typeface="国标黑体" panose="02000500000000000000" charset="-122"/>
            </a:endParaRPr>
          </a:p>
        </c:rich>
      </c:tx>
      <c:layout>
        <c:manualLayout>
          <c:xMode val="edge"/>
          <c:yMode val="edge"/>
          <c:x val="0.223091409069794"/>
          <c:y val="0.0317391102751319"/>
        </c:manualLayout>
      </c:layout>
      <c:overlay val="0"/>
      <c:spPr>
        <a:noFill/>
        <a:ln>
          <a:noFill/>
        </a:ln>
        <a:effectLst/>
      </c:spPr>
    </c:title>
    <c:autoTitleDeleted val="0"/>
    <c:plotArea>
      <c:layout>
        <c:manualLayout>
          <c:layoutTarget val="inner"/>
          <c:xMode val="edge"/>
          <c:yMode val="edge"/>
          <c:x val="0.0308104487608841"/>
          <c:y val="0.27138800141995"/>
          <c:w val="0.939718687206966"/>
          <c:h val="0.56272630457934"/>
        </c:manualLayout>
      </c:layout>
      <c:barChart>
        <c:barDir val="col"/>
        <c:grouping val="clustered"/>
        <c:varyColors val="0"/>
        <c:ser>
          <c:idx val="0"/>
          <c:order val="0"/>
          <c:tx>
            <c:strRef>
              <c:f>[决算图表.xls]Sheet2!$B$1</c:f>
              <c:strCache>
                <c:ptCount val="1"/>
                <c:pt idx="0">
                  <c:v>2023年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[决算图表.xls]Sheet2!$A$2</c:f>
              <c:numCache>
                <c:formatCode>General</c:formatCode>
                <c:ptCount val="1"/>
              </c:numCache>
            </c:numRef>
          </c:cat>
          <c:val>
            <c:numRef>
              <c:f>[决算图表.xls]Sheet2!$B$2</c:f>
              <c:numCache>
                <c:formatCode>General</c:formatCode>
                <c:ptCount val="1"/>
                <c:pt idx="0">
                  <c:v>1144.99</c:v>
                </c:pt>
              </c:numCache>
            </c:numRef>
          </c:val>
        </c:ser>
        <c:ser>
          <c:idx val="1"/>
          <c:order val="1"/>
          <c:tx>
            <c:strRef>
              <c:f>[决算图表.xls]Sheet2!$C$1</c:f>
              <c:strCache>
                <c:ptCount val="1"/>
                <c:pt idx="0">
                  <c:v>2024年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[决算图表.xls]Sheet2!$A$2</c:f>
              <c:numCache>
                <c:formatCode>General</c:formatCode>
                <c:ptCount val="1"/>
              </c:numCache>
            </c:numRef>
          </c:cat>
          <c:val>
            <c:numRef>
              <c:f>[决算图表.xls]Sheet2!$C$2</c:f>
              <c:numCache>
                <c:formatCode>General</c:formatCode>
                <c:ptCount val="1"/>
                <c:pt idx="0">
                  <c:v>1081.28</c:v>
                </c:pt>
              </c:numCache>
            </c:numRef>
          </c:val>
        </c:ser>
        <c:dLbls>
          <c:showLegendKey val="0"/>
          <c:showVal val="0"/>
          <c:showCatName val="0"/>
          <c:showSerName val="0"/>
          <c:showPercent val="0"/>
          <c:showBubbleSize val="0"/>
        </c:dLbls>
        <c:gapWidth val="246"/>
        <c:overlap val="-28"/>
        <c:axId val="223478555"/>
        <c:axId val="85135393"/>
      </c:barChart>
      <c:lineChart>
        <c:grouping val="standard"/>
        <c:varyColors val="0"/>
        <c:ser>
          <c:idx val="2"/>
          <c:order val="2"/>
          <c:tx>
            <c:strRef>
              <c:f>[决算图表.xls]Sheet2!$D$1</c:f>
              <c:strCache>
                <c:ptCount val="1"/>
                <c:pt idx="0">
                  <c:v>增长率(%)</c:v>
                </c:pt>
              </c:strCache>
            </c:strRef>
          </c:tx>
          <c:marker>
            <c:symbol val="none"/>
          </c:marker>
          <c:dLbls>
            <c:delete val="1"/>
          </c:dLbls>
          <c:cat>
            <c:numRef>
              <c:f>[决算图表.xls]Sheet2!$A$2</c:f>
              <c:numCache>
                <c:formatCode>General</c:formatCode>
                <c:ptCount val="1"/>
              </c:numCache>
            </c:numRef>
          </c:cat>
          <c:val>
            <c:numRef>
              <c:f>[决算图表.xls]Sheet2!$D$2</c:f>
              <c:numCache>
                <c:formatCode>0.00_ </c:formatCode>
                <c:ptCount val="1"/>
                <c:pt idx="0">
                  <c:v>-5.56424073572695</c:v>
                </c:pt>
              </c:numCache>
            </c:numRef>
          </c:val>
          <c:smooth val="0"/>
        </c:ser>
        <c:dLbls>
          <c:showLegendKey val="0"/>
          <c:showVal val="0"/>
          <c:showCatName val="0"/>
          <c:showSerName val="0"/>
          <c:showPercent val="0"/>
          <c:showBubbleSize val="0"/>
        </c:dLbls>
        <c:marker val="0"/>
        <c:smooth val="0"/>
        <c:axId val="223478555"/>
        <c:axId val="85135393"/>
      </c:lineChart>
      <c:catAx>
        <c:axId val="22347855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5135393"/>
        <c:crosses val="autoZero"/>
        <c:auto val="1"/>
        <c:lblAlgn val="ctr"/>
        <c:lblOffset val="100"/>
        <c:noMultiLvlLbl val="0"/>
      </c:catAx>
      <c:valAx>
        <c:axId val="85135393"/>
        <c:scaling>
          <c:orientation val="minMax"/>
        </c:scaling>
        <c:delete val="1"/>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595959">
                    <a:alpha val="100000"/>
                  </a:srgbClr>
                </a:solidFill>
                <a:latin typeface="+mn-lt"/>
                <a:ea typeface="+mn-ea"/>
                <a:cs typeface="+mn-cs"/>
              </a:defRPr>
            </a:pPr>
          </a:p>
        </c:txPr>
        <c:crossAx val="223478555"/>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dda94bca-4c31-4e64-8527-225f8652bc16}"/>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0">
                <a:solidFill>
                  <a:sysClr val="windowText" lastClr="000000"/>
                </a:solidFill>
                <a:latin typeface="国标黑体" panose="02000500000000000000" charset="-122"/>
                <a:ea typeface="国标黑体" panose="02000500000000000000" charset="-122"/>
                <a:cs typeface="国标黑体" panose="02000500000000000000" charset="-122"/>
              </a:rPr>
              <a:t>图6</a:t>
            </a:r>
            <a:r>
              <a:rPr lang="en-US" altLang="zh-CN" b="0">
                <a:solidFill>
                  <a:sysClr val="windowText" lastClr="000000"/>
                </a:solidFill>
                <a:latin typeface="国标黑体" panose="02000500000000000000" charset="-122"/>
                <a:ea typeface="国标黑体" panose="02000500000000000000" charset="-122"/>
                <a:cs typeface="国标黑体" panose="02000500000000000000" charset="-122"/>
              </a:rPr>
              <a:t>  </a:t>
            </a:r>
            <a:r>
              <a:rPr b="0">
                <a:solidFill>
                  <a:sysClr val="windowText" lastClr="000000"/>
                </a:solidFill>
                <a:latin typeface="国标黑体" panose="02000500000000000000" charset="-122"/>
                <a:ea typeface="国标黑体" panose="02000500000000000000" charset="-122"/>
                <a:cs typeface="国标黑体" panose="02000500000000000000" charset="-122"/>
              </a:rPr>
              <a:t>一般公共预算财政拨款支出决算结构</a:t>
            </a:r>
            <a:endParaRPr b="0">
              <a:solidFill>
                <a:sysClr val="windowText" lastClr="000000"/>
              </a:solidFill>
              <a:latin typeface="国标黑体" panose="02000500000000000000" charset="-122"/>
              <a:ea typeface="国标黑体" panose="02000500000000000000" charset="-122"/>
              <a:cs typeface="国标黑体" panose="02000500000000000000" charset="-122"/>
            </a:endParaRPr>
          </a:p>
        </c:rich>
      </c:tx>
      <c:layout/>
      <c:overlay val="0"/>
      <c:spPr>
        <a:noFill/>
        <a:ln>
          <a:noFill/>
        </a:ln>
        <a:effectLst/>
      </c:spPr>
    </c:title>
    <c:autoTitleDeleted val="0"/>
    <c:plotArea>
      <c:layout>
        <c:manualLayout>
          <c:layoutTarget val="inner"/>
          <c:xMode val="edge"/>
          <c:yMode val="edge"/>
          <c:x val="0.0463687823678189"/>
          <c:y val="0.135892304893578"/>
          <c:w val="0.723714320125256"/>
          <c:h val="0.821357103874841"/>
        </c:manualLayout>
      </c:layout>
      <c:pieChart>
        <c:varyColors val="1"/>
        <c:ser>
          <c:idx val="0"/>
          <c:order val="0"/>
          <c:spPr/>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Pt>
            <c:idx val="3"/>
            <c:bubble3D val="0"/>
            <c:spPr>
              <a:solidFill>
                <a:schemeClr val="accent4"/>
              </a:solidFill>
              <a:ln w="2540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75</a:t>
                    </a:r>
                    <a:r>
                      <a:rPr lang="en-US" altLang="zh-CN"/>
                      <a:t>.37</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15</a:t>
                    </a:r>
                    <a:r>
                      <a:rPr lang="en-US" altLang="zh-CN"/>
                      <a:t>.23</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2"/>
              <c:layout>
                <c:manualLayout>
                  <c:x val="-0.0301060350561307"/>
                  <c:y val="0.030547407278473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2.58</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6.82</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[决算图表.xls]Sheet1!$D$20:$D$23</c:f>
              <c:strCache>
                <c:ptCount val="4"/>
                <c:pt idx="0">
                  <c:v>一般公共服务支出</c:v>
                </c:pt>
                <c:pt idx="1">
                  <c:v>社会保障和就业支出</c:v>
                </c:pt>
                <c:pt idx="2">
                  <c:v>卫生健康支出</c:v>
                </c:pt>
                <c:pt idx="3">
                  <c:v>住房保障支出</c:v>
                </c:pt>
              </c:strCache>
            </c:strRef>
          </c:cat>
          <c:val>
            <c:numRef>
              <c:f>[决算图表.xls]Sheet1!$E$20:$E$23</c:f>
              <c:numCache>
                <c:formatCode>General</c:formatCode>
                <c:ptCount val="4"/>
                <c:pt idx="0">
                  <c:v>814.88</c:v>
                </c:pt>
                <c:pt idx="1">
                  <c:v>164.71</c:v>
                </c:pt>
                <c:pt idx="2">
                  <c:v>27.93</c:v>
                </c:pt>
                <c:pt idx="3">
                  <c:v>73.76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manualLayout>
          <c:xMode val="edge"/>
          <c:yMode val="edge"/>
          <c:x val="0.76025459688826"/>
          <c:y val="0.427597955706985"/>
          <c:w val="0.214521452145215"/>
          <c:h val="0.37497633920121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extLst>
      <c:ext uri="{0b15fc19-7d7d-44ad-8c2d-2c3a37ce22c3}">
        <chartProps xmlns="https://web.wps.cn/et/2018/main" chartId="{e9023898-21b8-4a94-beab-9d63f74cfcd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b="0">
                <a:solidFill>
                  <a:schemeClr val="tx1"/>
                </a:solidFill>
                <a:latin typeface="国标黑体" panose="02000500000000000000" charset="-122"/>
                <a:ea typeface="国标黑体" panose="02000500000000000000" charset="-122"/>
                <a:cs typeface="国标黑体" panose="02000500000000000000" charset="-122"/>
              </a:rPr>
              <a:t>图7</a:t>
            </a:r>
            <a:r>
              <a:rPr lang="en-US" altLang="zh-CN" b="0">
                <a:solidFill>
                  <a:schemeClr val="tx1"/>
                </a:solidFill>
                <a:latin typeface="国标黑体" panose="02000500000000000000" charset="-122"/>
                <a:ea typeface="国标黑体" panose="02000500000000000000" charset="-122"/>
                <a:cs typeface="国标黑体" panose="02000500000000000000" charset="-122"/>
              </a:rPr>
              <a:t>  </a:t>
            </a:r>
            <a:r>
              <a:rPr b="0">
                <a:solidFill>
                  <a:schemeClr val="tx1"/>
                </a:solidFill>
                <a:latin typeface="国标黑体" panose="02000500000000000000" charset="-122"/>
                <a:ea typeface="国标黑体" panose="02000500000000000000" charset="-122"/>
                <a:cs typeface="国标黑体" panose="02000500000000000000" charset="-122"/>
              </a:rPr>
              <a:t>“三公”经费财政拨款支出结构</a:t>
            </a:r>
            <a:endParaRPr b="0">
              <a:solidFill>
                <a:schemeClr val="tx1"/>
              </a:solidFill>
              <a:latin typeface="国标黑体" panose="02000500000000000000" charset="-122"/>
              <a:ea typeface="国标黑体" panose="02000500000000000000" charset="-122"/>
              <a:cs typeface="国标黑体" panose="02000500000000000000" charset="-122"/>
            </a:endParaRPr>
          </a:p>
        </c:rich>
      </c:tx>
      <c:layout/>
      <c:overlay val="0"/>
      <c:spPr>
        <a:noFill/>
        <a:ln>
          <a:noFill/>
        </a:ln>
        <a:effectLst/>
      </c:spPr>
    </c:title>
    <c:autoTitleDeleted val="0"/>
    <c:plotArea>
      <c:layout>
        <c:manualLayout>
          <c:layoutTarget val="inner"/>
          <c:xMode val="edge"/>
          <c:yMode val="edge"/>
          <c:x val="0.0364106178059666"/>
          <c:y val="0.194029850746269"/>
          <c:w val="0.931407094197792"/>
          <c:h val="0.659701492537313"/>
        </c:manualLayout>
      </c:layout>
      <c:pieChart>
        <c:varyColors val="1"/>
        <c:ser>
          <c:idx val="0"/>
          <c:order val="0"/>
          <c:spPr>
            <a:scene3d>
              <a:camera prst="orthographicFront"/>
              <a:lightRig rig="threePt" dir="t"/>
            </a:scene3d>
            <a:sp3d contourW="9525"/>
          </c:spPr>
          <c:explosion val="0"/>
          <c:dPt>
            <c:idx val="0"/>
            <c:bubble3D val="0"/>
            <c:spPr>
              <a:solidFill>
                <a:schemeClr val="accent1"/>
              </a:solidFill>
              <a:ln w="19050">
                <a:solidFill>
                  <a:schemeClr val="bg1"/>
                </a:solidFill>
              </a:ln>
              <a:effectLst/>
              <a:scene3d>
                <a:camera prst="orthographicFront"/>
                <a:lightRig rig="threePt" dir="t"/>
              </a:scene3d>
              <a:sp3d contourW="9525"/>
            </c:spPr>
          </c:dPt>
          <c:dPt>
            <c:idx val="1"/>
            <c:bubble3D val="0"/>
            <c:spPr>
              <a:solidFill>
                <a:schemeClr val="accent2"/>
              </a:solidFill>
              <a:ln w="19050">
                <a:solidFill>
                  <a:schemeClr val="bg1"/>
                </a:solidFill>
              </a:ln>
              <a:effectLst/>
              <a:scene3d>
                <a:camera prst="orthographicFront"/>
                <a:lightRig rig="threePt" dir="t"/>
              </a:scene3d>
              <a:sp3d contourW="9525"/>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[决算图表.xls]Sheet5!$A$2:$A$3</c:f>
              <c:strCache>
                <c:ptCount val="2"/>
                <c:pt idx="0">
                  <c:v>公务用车购置及运行维护费</c:v>
                </c:pt>
                <c:pt idx="1">
                  <c:v>公务接待费</c:v>
                </c:pt>
              </c:strCache>
            </c:strRef>
          </c:cat>
          <c:val>
            <c:numRef>
              <c:f>[决算图表.xls]Sheet5!$B$2:$B$3</c:f>
              <c:numCache>
                <c:formatCode>General</c:formatCode>
                <c:ptCount val="2"/>
                <c:pt idx="0">
                  <c:v>5.52</c:v>
                </c:pt>
                <c:pt idx="1">
                  <c:v>1.93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manualLayout>
          <c:xMode val="edge"/>
          <c:yMode val="edge"/>
          <c:x val="0.276896875734085"/>
          <c:y val="0.898905472636816"/>
          <c:w val="0.478020565552699"/>
          <c:h val="0.076816608996539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bb7b810-2c9b-44f8-aac4-8fc9f6494ee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0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0.0509042196918955</cdr:x>
      <cdr:y>0.146254881079162</cdr:y>
    </cdr:from>
    <cdr:to>
      <cdr:x>0.235498995311453</cdr:x>
      <cdr:y>0.223287184948527</cdr:y>
    </cdr:to>
    <cdr:sp>
      <cdr:nvSpPr>
        <cdr:cNvPr id="2" name="矩形 1"/>
        <cdr:cNvSpPr/>
      </cdr:nvSpPr>
      <cdr:spPr xmlns:a="http://schemas.openxmlformats.org/drawingml/2006/main">
        <a:xfrm xmlns:a="http://schemas.openxmlformats.org/drawingml/2006/main">
          <a:off x="275758" y="545529"/>
          <a:ext cx="999984" cy="28733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sz="1000">
              <a:solidFill>
                <a:sysClr val="windowText" lastClr="000000"/>
              </a:solidFill>
            </a:rPr>
            <a:t>单位：万元</a:t>
          </a:r>
          <a:endParaRPr lang="zh-CN" altLang="en-US" sz="1000">
            <a:solidFill>
              <a:sysClr val="windowText" lastClr="000000"/>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0.0509042196918955</cdr:x>
      <cdr:y>0.146254881079162</cdr:y>
    </cdr:from>
    <cdr:to>
      <cdr:x>0.235498995311453</cdr:x>
      <cdr:y>0.223287184948527</cdr:y>
    </cdr:to>
    <cdr:sp>
      <cdr:nvSpPr>
        <cdr:cNvPr id="2" name="矩形 1"/>
        <cdr:cNvSpPr/>
      </cdr:nvSpPr>
      <cdr:spPr xmlns:a="http://schemas.openxmlformats.org/drawingml/2006/main">
        <a:xfrm xmlns:a="http://schemas.openxmlformats.org/drawingml/2006/main">
          <a:off x="275758" y="545529"/>
          <a:ext cx="999984" cy="28733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r>
            <a:rPr lang="zh-CN" altLang="en-US" sz="1000">
              <a:solidFill>
                <a:sysClr val="windowText" lastClr="000000"/>
              </a:solidFill>
            </a:rPr>
            <a:t>单位：万元</a:t>
          </a:r>
          <a:endParaRPr lang="zh-CN" altLang="en-US" sz="1000">
            <a:solidFill>
              <a:sysClr val="windowText" lastClr="000000"/>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0.0823485967503693</cdr:x>
      <cdr:y>0.135836053681538</cdr:y>
    </cdr:from>
    <cdr:to>
      <cdr:x>0.272525849335303</cdr:x>
      <cdr:y>0.203844758795793</cdr:y>
    </cdr:to>
    <cdr:sp>
      <cdr:nvSpPr>
        <cdr:cNvPr id="2" name="矩形 1"/>
        <cdr:cNvSpPr/>
      </cdr:nvSpPr>
      <cdr:spPr xmlns:a="http://schemas.openxmlformats.org/drawingml/2006/main">
        <a:xfrm xmlns:a="http://schemas.openxmlformats.org/drawingml/2006/main">
          <a:off x="424815" y="408335"/>
          <a:ext cx="981075" cy="20444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sz="1000">
              <a:solidFill>
                <a:schemeClr val="tx1"/>
              </a:solidFill>
            </a:rPr>
            <a:t>单位：万元</a:t>
          </a:r>
          <a:endParaRPr lang="zh-CN" altLang="en-US" sz="1000">
            <a:solidFill>
              <a:schemeClr val="tx1"/>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69</Pages>
  <Words>9713</Words>
  <Characters>10386</Characters>
  <Lines>1</Lines>
  <Paragraphs>1</Paragraphs>
  <TotalTime>3</TotalTime>
  <ScaleCrop>false</ScaleCrop>
  <LinksUpToDate>false</LinksUpToDate>
  <CharactersWithSpaces>10495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2020-08-22T17:49:00Z</dcterms:created>
  <dc:creator>曹颖</dc:creator>
  <cp:lastModifiedBy>user</cp:lastModifiedBy>
  <cp:lastPrinted>2025-08-20T01:34:00Z</cp:lastPrinted>
  <dcterms:modified xsi:type="dcterms:W3CDTF">2025-09-30T14:39:25Z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AE2C85B8E7A44A489C6B39D55E0C5DCE_13</vt:lpwstr>
  </property>
  <property fmtid="{D5CDD505-2E9C-101B-9397-08002B2CF9AE}" pid="4" name="KSOTemplateDocerSaveRecord">
    <vt:lpwstr>eyJoZGlkIjoiZjVmOGJjNGFjNzJmNGIyZmJmYmQzMDY4ZTRhZWFkNDgiLCJ1c2VySWQiOiIyNjQ0ODE3MzYifQ==</vt:lpwstr>
  </property>
</Properties>
</file>